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3DA8A" w14:textId="77777777" w:rsidR="00777187" w:rsidRPr="00777187" w:rsidRDefault="00777187" w:rsidP="00777187">
      <w:pPr>
        <w:rPr>
          <w:rFonts w:ascii="Garamond" w:eastAsia="HGMinchoB" w:hAnsi="Garamond" w:cs="Times New Roman"/>
          <w:bCs w:val="0"/>
          <w:iCs w:val="0"/>
        </w:rPr>
      </w:pPr>
      <w:bookmarkStart w:id="0" w:name="_Toc457228317"/>
    </w:p>
    <w:p w14:paraId="6273A810" w14:textId="77777777" w:rsidR="00777187" w:rsidRPr="004A78B5" w:rsidRDefault="00777187" w:rsidP="004A78B5">
      <w:pPr>
        <w:pStyle w:val="Title"/>
        <w:jc w:val="center"/>
        <w:rPr>
          <w:rFonts w:eastAsia="HGMinchoB"/>
          <w:b/>
          <w:bCs/>
          <w:iCs/>
          <w:caps w:val="0"/>
          <w:sz w:val="72"/>
        </w:rPr>
      </w:pPr>
      <w:bookmarkStart w:id="1" w:name="_Toc457488817"/>
      <w:bookmarkStart w:id="2" w:name="_Toc459645415"/>
      <w:bookmarkStart w:id="3" w:name="_Toc358293884"/>
      <w:bookmarkStart w:id="4" w:name="_Toc359963203"/>
      <w:bookmarkStart w:id="5" w:name="_Toc360094232"/>
      <w:bookmarkStart w:id="6" w:name="_Toc363125492"/>
      <w:bookmarkStart w:id="7" w:name="_Toc418607331"/>
      <w:bookmarkStart w:id="8" w:name="_Toc445291402"/>
      <w:bookmarkStart w:id="9" w:name="_Toc446670182"/>
      <w:bookmarkStart w:id="10" w:name="_Toc446670850"/>
      <w:bookmarkStart w:id="11" w:name="_Toc451158320"/>
      <w:bookmarkStart w:id="12" w:name="_Toc451412438"/>
      <w:bookmarkStart w:id="13" w:name="_Toc455645757"/>
      <w:bookmarkStart w:id="14" w:name="_Toc456263209"/>
      <w:r w:rsidRPr="004A78B5">
        <w:rPr>
          <w:rFonts w:eastAsia="HGMinchoB"/>
          <w:b/>
          <w:caps w:val="0"/>
          <w:sz w:val="72"/>
        </w:rPr>
        <w:t>Interagency Committee on</w:t>
      </w:r>
      <w:bookmarkStart w:id="15" w:name="_Toc457488818"/>
      <w:bookmarkStart w:id="16" w:name="_Toc459645416"/>
      <w:bookmarkEnd w:id="1"/>
      <w:bookmarkEnd w:id="2"/>
      <w:r w:rsidR="004A78B5">
        <w:rPr>
          <w:rFonts w:eastAsia="HGMinchoB"/>
          <w:b/>
          <w:caps w:val="0"/>
          <w:sz w:val="72"/>
        </w:rPr>
        <w:t xml:space="preserve"> </w:t>
      </w:r>
      <w:r w:rsidRPr="004A78B5">
        <w:rPr>
          <w:rFonts w:eastAsia="HGMinchoB"/>
          <w:b/>
          <w:caps w:val="0"/>
          <w:sz w:val="72"/>
        </w:rPr>
        <w:t>Disability Research</w:t>
      </w:r>
      <w:bookmarkEnd w:id="3"/>
      <w:bookmarkEnd w:id="4"/>
      <w:bookmarkEnd w:id="5"/>
      <w:bookmarkEnd w:id="6"/>
      <w:bookmarkEnd w:id="7"/>
      <w:bookmarkEnd w:id="8"/>
      <w:bookmarkEnd w:id="9"/>
      <w:bookmarkEnd w:id="10"/>
      <w:bookmarkEnd w:id="11"/>
      <w:bookmarkEnd w:id="12"/>
      <w:bookmarkEnd w:id="13"/>
      <w:bookmarkEnd w:id="14"/>
      <w:bookmarkEnd w:id="15"/>
      <w:bookmarkEnd w:id="16"/>
    </w:p>
    <w:p w14:paraId="0A03560B" w14:textId="77777777" w:rsidR="00777187" w:rsidRPr="00777187" w:rsidRDefault="00777187" w:rsidP="00777187">
      <w:pPr>
        <w:rPr>
          <w:rFonts w:ascii="Calibri" w:eastAsia="HGｺﾞｼｯｸM" w:hAnsi="Calibri" w:cs="Times New Roman"/>
          <w:bCs w:val="0"/>
          <w:iCs w:val="0"/>
          <w:color w:val="A5300F"/>
          <w:spacing w:val="10"/>
          <w:sz w:val="52"/>
          <w:szCs w:val="52"/>
        </w:rPr>
      </w:pPr>
    </w:p>
    <w:p w14:paraId="3D088A82" w14:textId="77777777" w:rsidR="00777187" w:rsidRPr="00350BD2" w:rsidRDefault="00777187" w:rsidP="00350BD2">
      <w:pPr>
        <w:pStyle w:val="Heading1"/>
      </w:pPr>
      <w:bookmarkStart w:id="17" w:name="_SG_dd4d46af0783490f9eda9be46b39f45d"/>
      <w:r w:rsidRPr="00350BD2">
        <w:t>Government</w:t>
      </w:r>
      <w:r w:rsidR="00B13262" w:rsidRPr="00350BD2">
        <w:t>-</w:t>
      </w:r>
      <w:r w:rsidR="00D71A6B" w:rsidRPr="00350BD2">
        <w:t>W</w:t>
      </w:r>
      <w:r w:rsidRPr="00350BD2">
        <w:t>ide Strategic Plan</w:t>
      </w:r>
      <w:r w:rsidR="004F1FC5">
        <w:t xml:space="preserve"> Develop</w:t>
      </w:r>
      <w:bookmarkStart w:id="18" w:name="_GoBack"/>
      <w:bookmarkEnd w:id="18"/>
      <w:r w:rsidR="004F1FC5">
        <w:t xml:space="preserve">ment Process </w:t>
      </w:r>
    </w:p>
    <w:p w14:paraId="0BB68501" w14:textId="77777777" w:rsidR="00777187" w:rsidRPr="00350BD2" w:rsidRDefault="00E47000" w:rsidP="00350BD2">
      <w:pPr>
        <w:pStyle w:val="Heading1"/>
      </w:pPr>
      <w:r>
        <w:t>Fiscal Years</w:t>
      </w:r>
      <w:r w:rsidR="00777187" w:rsidRPr="00350BD2">
        <w:t xml:space="preserve"> 2017-2020</w:t>
      </w:r>
      <w:bookmarkEnd w:id="17"/>
    </w:p>
    <w:p w14:paraId="741940CA" w14:textId="77777777" w:rsidR="00777187" w:rsidRPr="00777187" w:rsidRDefault="00777187" w:rsidP="00777187">
      <w:pPr>
        <w:jc w:val="center"/>
        <w:rPr>
          <w:rFonts w:ascii="Calibri" w:eastAsia="HGｺﾞｼｯｸM" w:hAnsi="Calibri" w:cs="Times New Roman"/>
          <w:bCs w:val="0"/>
          <w:iCs w:val="0"/>
          <w:color w:val="A5300F"/>
          <w:spacing w:val="10"/>
          <w:sz w:val="52"/>
          <w:szCs w:val="52"/>
        </w:rPr>
      </w:pPr>
    </w:p>
    <w:p w14:paraId="07D785E3" w14:textId="77777777" w:rsidR="00777187" w:rsidRDefault="007006F6" w:rsidP="00777187">
      <w:pPr>
        <w:jc w:val="center"/>
        <w:rPr>
          <w:rFonts w:ascii="Garamond" w:eastAsia="HGMinchoB" w:hAnsi="Garamond" w:cs="Times New Roman"/>
          <w:bCs w:val="0"/>
          <w:iCs w:val="0"/>
        </w:rPr>
      </w:pPr>
      <w:r>
        <w:rPr>
          <w:rFonts w:ascii="Garamond" w:eastAsia="HGMinchoB" w:hAnsi="Garamond" w:cs="Times New Roman"/>
          <w:bCs w:val="0"/>
          <w:iCs w:val="0"/>
        </w:rPr>
        <w:drawing>
          <wp:inline distT="0" distB="0" distL="0" distR="0" wp14:anchorId="094225BA" wp14:editId="49AE1820">
            <wp:extent cx="2341245" cy="1762125"/>
            <wp:effectExtent l="0" t="0" r="1905" b="9525"/>
            <wp:docPr id="5" name="Picture 5" descr="Interagency Committee on Disability Research (ICD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1245" cy="1762125"/>
                    </a:xfrm>
                    <a:prstGeom prst="rect">
                      <a:avLst/>
                    </a:prstGeom>
                    <a:noFill/>
                  </pic:spPr>
                </pic:pic>
              </a:graphicData>
            </a:graphic>
          </wp:inline>
        </w:drawing>
      </w:r>
    </w:p>
    <w:p w14:paraId="72381CB8" w14:textId="77777777" w:rsidR="00BD4C58" w:rsidRPr="00777187" w:rsidRDefault="00BD4C58" w:rsidP="00777187">
      <w:pPr>
        <w:jc w:val="center"/>
        <w:rPr>
          <w:rFonts w:ascii="Garamond" w:eastAsia="HGMinchoB" w:hAnsi="Garamond" w:cs="Times New Roman"/>
          <w:bCs w:val="0"/>
          <w:iCs w:val="0"/>
        </w:rPr>
      </w:pPr>
    </w:p>
    <w:p w14:paraId="6DB2B514" w14:textId="77777777" w:rsidR="00895B42" w:rsidRPr="00895B42" w:rsidRDefault="00895B42" w:rsidP="00895B42">
      <w:pPr>
        <w:jc w:val="center"/>
      </w:pPr>
    </w:p>
    <w:p w14:paraId="7BD9B261" w14:textId="77777777" w:rsidR="000039A7" w:rsidRDefault="00D71A6B" w:rsidP="000039A7">
      <w:pPr>
        <w:jc w:val="center"/>
      </w:pPr>
      <w:r>
        <w:t>Robert Jaeger</w:t>
      </w:r>
      <w:r w:rsidR="000039A7">
        <w:t xml:space="preserve">, ICDR Designated Chair and </w:t>
      </w:r>
      <w:r w:rsidR="00895B42" w:rsidRPr="00895B42">
        <w:t xml:space="preserve">Director, </w:t>
      </w:r>
    </w:p>
    <w:p w14:paraId="699D25A7" w14:textId="77777777" w:rsidR="00895B42" w:rsidRDefault="00895B42" w:rsidP="000039A7">
      <w:pPr>
        <w:jc w:val="center"/>
      </w:pPr>
      <w:r w:rsidRPr="00895B42">
        <w:t>National Institute on Disability, Independent Living, and Rehabilitation Research (NIDILRR)</w:t>
      </w:r>
    </w:p>
    <w:p w14:paraId="4CBA5F98" w14:textId="77777777" w:rsidR="00895B42" w:rsidRDefault="00895B42" w:rsidP="00895B42">
      <w:pPr>
        <w:jc w:val="center"/>
      </w:pPr>
    </w:p>
    <w:p w14:paraId="24F22196" w14:textId="77777777" w:rsidR="00895B42" w:rsidRPr="00895B42" w:rsidRDefault="00DD03F7" w:rsidP="00895B42">
      <w:pPr>
        <w:jc w:val="center"/>
      </w:pPr>
      <w:hyperlink r:id="rId9" w:history="1">
        <w:r w:rsidR="000316F7">
          <w:rPr>
            <w:rStyle w:val="Hyperlink"/>
          </w:rPr>
          <w:t>icdr.acl.gov</w:t>
        </w:r>
      </w:hyperlink>
    </w:p>
    <w:p w14:paraId="77FF4963" w14:textId="77777777" w:rsidR="00777187" w:rsidRDefault="00777187" w:rsidP="00777187">
      <w:pPr>
        <w:pStyle w:val="NoSpacing"/>
      </w:pPr>
    </w:p>
    <w:p w14:paraId="17AF4943" w14:textId="77777777" w:rsidR="00997913" w:rsidRDefault="00997913" w:rsidP="007006F6">
      <w:pPr>
        <w:pStyle w:val="Title"/>
        <w:jc w:val="center"/>
      </w:pPr>
    </w:p>
    <w:p w14:paraId="3A9A5134" w14:textId="77777777" w:rsidR="00997913" w:rsidRPr="00997913" w:rsidRDefault="00997913" w:rsidP="00997913"/>
    <w:p w14:paraId="4D2A04C4" w14:textId="77777777" w:rsidR="00997913" w:rsidRDefault="00997913" w:rsidP="00997913"/>
    <w:p w14:paraId="6005BAFA" w14:textId="77777777" w:rsidR="00997913" w:rsidRDefault="00997913" w:rsidP="00997913">
      <w:pPr>
        <w:tabs>
          <w:tab w:val="left" w:pos="1671"/>
        </w:tabs>
      </w:pPr>
      <w:r>
        <w:lastRenderedPageBreak/>
        <w:tab/>
      </w:r>
    </w:p>
    <w:p w14:paraId="56E2F89D" w14:textId="77777777" w:rsidR="00A2296D" w:rsidRDefault="007006F6" w:rsidP="00A2296D">
      <w:pPr>
        <w:spacing w:line="240" w:lineRule="auto"/>
      </w:pPr>
      <w:r w:rsidRPr="00997913">
        <w:br w:type="page"/>
      </w:r>
      <w:r w:rsidR="00A2296D" w:rsidRPr="007006F6">
        <w:rPr>
          <w:i/>
          <w:noProof w:val="0"/>
        </w:rPr>
        <w:lastRenderedPageBreak/>
        <w:t>This document was produced by New Editions Consulting, Inc. under U.S. Department of Health and Human Services (HHS), Administration for Community Living (ACL) Contract No. ED-OSE-12-C-0054 on behalf of the Interagency Committee on Disability Research (ICDR). Maggie Hatton served as the Contracting Officer’s Representative. The views expressed herein do not necessarily represent the positions or policies of the ICDR</w:t>
      </w:r>
      <w:r w:rsidR="00A2296D">
        <w:rPr>
          <w:i/>
          <w:noProof w:val="0"/>
        </w:rPr>
        <w:t xml:space="preserve"> or the Federal Government</w:t>
      </w:r>
      <w:r w:rsidR="00A2296D" w:rsidRPr="007006F6">
        <w:rPr>
          <w:i/>
          <w:noProof w:val="0"/>
        </w:rPr>
        <w:t xml:space="preserve">. No official endorsement by the ICDR of any product, commodity, services, or enterprise mentioned in this publication is intended or should be inferred. Inquiries can be sent to </w:t>
      </w:r>
      <w:hyperlink r:id="rId10" w:history="1">
        <w:r w:rsidR="00A2296D" w:rsidRPr="00DC75D1">
          <w:rPr>
            <w:rStyle w:val="Hyperlink"/>
            <w:i/>
            <w:noProof w:val="0"/>
          </w:rPr>
          <w:t>ICDRinfo@neweditions.net</w:t>
        </w:r>
      </w:hyperlink>
      <w:r w:rsidR="00A2296D" w:rsidRPr="007006F6">
        <w:rPr>
          <w:i/>
          <w:noProof w:val="0"/>
        </w:rPr>
        <w:t>.</w:t>
      </w:r>
    </w:p>
    <w:p w14:paraId="5C68792C" w14:textId="77777777" w:rsidR="007006F6" w:rsidRPr="004A78B5" w:rsidRDefault="007006F6" w:rsidP="00A2296D">
      <w:pPr>
        <w:rPr>
          <w:rFonts w:eastAsia="HGMinchoB"/>
          <w:b/>
          <w:caps/>
          <w:sz w:val="72"/>
        </w:rPr>
      </w:pPr>
      <w:r>
        <w:br w:type="page"/>
      </w:r>
    </w:p>
    <w:p w14:paraId="2EFD7A88" w14:textId="77777777" w:rsidR="00345B34" w:rsidRPr="00240E04" w:rsidRDefault="00345B34" w:rsidP="00103B05">
      <w:pPr>
        <w:pStyle w:val="Heading3"/>
      </w:pPr>
      <w:bookmarkStart w:id="19" w:name="_Toc466991523"/>
      <w:bookmarkStart w:id="20" w:name="_Toc445474913"/>
      <w:bookmarkStart w:id="21" w:name="_Toc445475466"/>
      <w:bookmarkStart w:id="22" w:name="_Toc445475656"/>
      <w:bookmarkStart w:id="23" w:name="_Toc448303332"/>
      <w:bookmarkEnd w:id="0"/>
      <w:r w:rsidRPr="00240E04">
        <w:lastRenderedPageBreak/>
        <w:t>Guiding Principles for Success</w:t>
      </w:r>
      <w:bookmarkEnd w:id="19"/>
    </w:p>
    <w:p w14:paraId="4D527C50" w14:textId="77777777" w:rsidR="00345B34" w:rsidRDefault="00345B34" w:rsidP="00345B34">
      <w:pPr>
        <w:pStyle w:val="NoSpacing"/>
        <w:rPr>
          <w:rFonts w:asciiTheme="majorHAnsi" w:hAnsiTheme="majorHAnsi"/>
          <w:noProof/>
        </w:rPr>
      </w:pPr>
      <w:r w:rsidRPr="00240E04">
        <w:t>As a first step in developing this plan, the ICDR, with the assistance of an outside facilitator, developed guiding principles to clarify its role and purpose. These principles also serve as guideposts in the plan development process</w:t>
      </w:r>
      <w:r w:rsidR="00E26259">
        <w:rPr>
          <w:rFonts w:asciiTheme="majorHAnsi" w:hAnsiTheme="majorHAnsi"/>
          <w:noProof/>
        </w:rPr>
        <w:t xml:space="preserve">. </w:t>
      </w:r>
    </w:p>
    <w:p w14:paraId="7077D8C9" w14:textId="77777777" w:rsidR="00345B34" w:rsidRDefault="00345B34" w:rsidP="00345B34">
      <w:pPr>
        <w:pStyle w:val="NoSpacing"/>
        <w:jc w:val="center"/>
      </w:pPr>
      <w:r>
        <w:rPr>
          <w:rFonts w:asciiTheme="majorHAnsi" w:hAnsiTheme="majorHAnsi"/>
          <w:noProof/>
        </w:rPr>
        <w:drawing>
          <wp:inline distT="0" distB="0" distL="0" distR="0" wp14:anchorId="36E06F5F" wp14:editId="5B1D70FE">
            <wp:extent cx="5487035" cy="3298190"/>
            <wp:effectExtent l="0" t="0" r="0" b="0"/>
            <wp:docPr id="2" name="Picture 2" descr="ICDR guiding principals detailed in this section of the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7035" cy="3298190"/>
                    </a:xfrm>
                    <a:prstGeom prst="rect">
                      <a:avLst/>
                    </a:prstGeom>
                    <a:noFill/>
                  </pic:spPr>
                </pic:pic>
              </a:graphicData>
            </a:graphic>
          </wp:inline>
        </w:drawing>
      </w:r>
    </w:p>
    <w:p w14:paraId="40C47B0D" w14:textId="77777777" w:rsidR="00345B34" w:rsidRPr="00172246" w:rsidRDefault="00345B34" w:rsidP="00345B34">
      <w:pPr>
        <w:pStyle w:val="Caption"/>
        <w:jc w:val="center"/>
        <w:rPr>
          <w:rFonts w:asciiTheme="majorHAnsi" w:hAnsiTheme="majorHAnsi"/>
        </w:rPr>
      </w:pPr>
      <w:r>
        <w:t xml:space="preserve">Figure </w:t>
      </w:r>
      <w:r>
        <w:fldChar w:fldCharType="begin"/>
      </w:r>
      <w:r>
        <w:instrText xml:space="preserve"> SEQ Figure \* ARABIC </w:instrText>
      </w:r>
      <w:r>
        <w:fldChar w:fldCharType="separate"/>
      </w:r>
      <w:r w:rsidR="002C579A">
        <w:t>1</w:t>
      </w:r>
      <w:r>
        <w:fldChar w:fldCharType="end"/>
      </w:r>
      <w:r>
        <w:t>. ICDR Guiding Principles</w:t>
      </w:r>
    </w:p>
    <w:p w14:paraId="4CB16814" w14:textId="77777777" w:rsidR="00345B34" w:rsidRPr="00240E04" w:rsidRDefault="00345B34" w:rsidP="00345B34">
      <w:pPr>
        <w:pStyle w:val="NoSpacing"/>
        <w:numPr>
          <w:ilvl w:val="0"/>
          <w:numId w:val="8"/>
        </w:numPr>
      </w:pPr>
      <w:r w:rsidRPr="00240E04">
        <w:rPr>
          <w:b/>
          <w:bCs/>
        </w:rPr>
        <w:t>Stay true to the ICDR mission</w:t>
      </w:r>
      <w:r w:rsidRPr="00240E04">
        <w:t>. The committee should identify its unique niche in disability, rehabilitation, and independent living research, and ensure that its efforts benefit its many stakeholders and partners. Initiatives should focus on the interagency nature of the ICDR and complement the work that agencies are already doing. Establishing a consistent, trusted brand would help achieve its mission.</w:t>
      </w:r>
    </w:p>
    <w:p w14:paraId="4CF2B69C" w14:textId="77777777" w:rsidR="00345B34" w:rsidRPr="00240E04" w:rsidRDefault="00345B34" w:rsidP="00345B34">
      <w:pPr>
        <w:pStyle w:val="NoSpacing"/>
        <w:numPr>
          <w:ilvl w:val="0"/>
          <w:numId w:val="8"/>
        </w:numPr>
      </w:pPr>
      <w:r w:rsidRPr="00240E04">
        <w:rPr>
          <w:b/>
          <w:bCs/>
        </w:rPr>
        <w:t>Clarify roles and expectations</w:t>
      </w:r>
      <w:r w:rsidRPr="00240E04">
        <w:t>. Clearly established expectations are needed for each agency partner to ensure buy-in and support. As the ICDR pursues its collective work</w:t>
      </w:r>
      <w:r w:rsidR="006C113D">
        <w:t>,</w:t>
      </w:r>
      <w:r w:rsidRPr="00240E04">
        <w:t xml:space="preserve"> it must consider and respect the diversity of agenc</w:t>
      </w:r>
      <w:r w:rsidR="00F77781">
        <w:t>ies’</w:t>
      </w:r>
      <w:r w:rsidRPr="00240E04">
        <w:t xml:space="preserve"> missions, perspectives, priorities, and decisions. Agencies should be accountable for fulfilling their roles. Committee members should be clear on what decisions they are empowered to make and share that information with fellow members.</w:t>
      </w:r>
    </w:p>
    <w:p w14:paraId="1654555E" w14:textId="77777777" w:rsidR="00345B34" w:rsidRPr="00240E04" w:rsidRDefault="00345B34" w:rsidP="00345B34">
      <w:pPr>
        <w:pStyle w:val="NoSpacing"/>
        <w:numPr>
          <w:ilvl w:val="0"/>
          <w:numId w:val="8"/>
        </w:numPr>
      </w:pPr>
      <w:r w:rsidRPr="00240E04">
        <w:rPr>
          <w:b/>
          <w:bCs/>
        </w:rPr>
        <w:t>Establish collaborative, lasting working relationships</w:t>
      </w:r>
      <w:r w:rsidRPr="00240E04">
        <w:t>. Committee members must trust their partners for mutual efforts to be most effective. Commitment to the ICDR’s mission is critical and membership can be encouraged and supported by actively soliciting diverse perspectives, positions, and opinions.</w:t>
      </w:r>
    </w:p>
    <w:p w14:paraId="3C5BB0B2" w14:textId="77777777" w:rsidR="00345B34" w:rsidRPr="00240E04" w:rsidRDefault="00345B34" w:rsidP="00345B34">
      <w:pPr>
        <w:pStyle w:val="NoSpacing"/>
        <w:numPr>
          <w:ilvl w:val="0"/>
          <w:numId w:val="8"/>
        </w:numPr>
      </w:pPr>
      <w:r w:rsidRPr="00240E04">
        <w:rPr>
          <w:b/>
          <w:bCs/>
        </w:rPr>
        <w:lastRenderedPageBreak/>
        <w:t>Prioritize and focus on shared priorities and essential activities</w:t>
      </w:r>
      <w:r w:rsidRPr="00240E04">
        <w:t>. Identifying realistic and meaningful activities will help develop common ground among members, capitalize on existing capabilities</w:t>
      </w:r>
      <w:r w:rsidR="006C113D">
        <w:t>,</w:t>
      </w:r>
      <w:r w:rsidRPr="00240E04">
        <w:t xml:space="preserve"> and leverage resources. This will assist in decision-making about what can be realistically accomplished with the time and resources available.</w:t>
      </w:r>
    </w:p>
    <w:p w14:paraId="24966353" w14:textId="77777777" w:rsidR="00345B34" w:rsidRPr="00240E04" w:rsidRDefault="00345B34" w:rsidP="00345B34">
      <w:pPr>
        <w:pStyle w:val="NoSpacing"/>
        <w:numPr>
          <w:ilvl w:val="0"/>
          <w:numId w:val="8"/>
        </w:numPr>
      </w:pPr>
      <w:r w:rsidRPr="00240E04">
        <w:rPr>
          <w:b/>
          <w:bCs/>
        </w:rPr>
        <w:t>Ensure communications and activities are transparent</w:t>
      </w:r>
      <w:r w:rsidRPr="00240E04">
        <w:t>. Communication should be open and regular among committee members and across agencies. ICDR goals, strategies, and activities should be transparent with agency contributions openly recognized.</w:t>
      </w:r>
    </w:p>
    <w:p w14:paraId="386D25A5" w14:textId="77777777" w:rsidR="00345B34" w:rsidRPr="00240E04" w:rsidRDefault="00345B34" w:rsidP="00345B34">
      <w:pPr>
        <w:pStyle w:val="NoSpacing"/>
        <w:numPr>
          <w:ilvl w:val="0"/>
          <w:numId w:val="8"/>
        </w:numPr>
      </w:pPr>
      <w:r w:rsidRPr="00240E04">
        <w:rPr>
          <w:b/>
          <w:bCs/>
        </w:rPr>
        <w:t>Document positive impacts</w:t>
      </w:r>
      <w:r w:rsidRPr="00240E04">
        <w:t>. Success will be determined by measuring the positive impacts that disability research and collaboration have on the disability community. The ICDR should pursue clearly defined goals that are compelling and meaningful to member agencies, demonstrate accountability, and share concrete outcomes.</w:t>
      </w:r>
    </w:p>
    <w:p w14:paraId="4E49F126" w14:textId="77777777" w:rsidR="002C579A" w:rsidRDefault="002C579A" w:rsidP="0036695B">
      <w:pPr>
        <w:pStyle w:val="Heading3"/>
        <w:rPr>
          <w:u w:color="272627"/>
        </w:rPr>
      </w:pPr>
      <w:bookmarkStart w:id="24" w:name="_Toc466991524"/>
    </w:p>
    <w:p w14:paraId="05B52037" w14:textId="77777777" w:rsidR="00345B34" w:rsidRDefault="00345B34" w:rsidP="0036695B">
      <w:pPr>
        <w:pStyle w:val="Heading3"/>
        <w:rPr>
          <w:u w:color="272627"/>
        </w:rPr>
      </w:pPr>
      <w:r>
        <w:rPr>
          <w:u w:color="272627"/>
        </w:rPr>
        <w:t>Relevance</w:t>
      </w:r>
      <w:bookmarkEnd w:id="24"/>
    </w:p>
    <w:p w14:paraId="10A1968E" w14:textId="77777777" w:rsidR="00A313F4" w:rsidRPr="00240E04" w:rsidRDefault="00C07CFD" w:rsidP="00BD4C58">
      <w:pPr>
        <w:pStyle w:val="NoSpacing"/>
      </w:pPr>
      <w:r>
        <w:rPr>
          <w:u w:color="272627"/>
        </w:rPr>
        <w:t>According to the Centers for Disease Control and Prevention, over 22</w:t>
      </w:r>
      <w:r w:rsidR="0065623A">
        <w:rPr>
          <w:u w:color="272627"/>
        </w:rPr>
        <w:t xml:space="preserve"> percent</w:t>
      </w:r>
      <w:r>
        <w:rPr>
          <w:u w:color="272627"/>
        </w:rPr>
        <w:t xml:space="preserve"> of </w:t>
      </w:r>
      <w:r w:rsidR="00645777" w:rsidRPr="00240E04">
        <w:rPr>
          <w:u w:color="272627"/>
        </w:rPr>
        <w:t xml:space="preserve">Americans </w:t>
      </w:r>
      <w:r>
        <w:rPr>
          <w:u w:color="272627"/>
        </w:rPr>
        <w:t xml:space="preserve">experience a disability </w:t>
      </w:r>
      <w:r w:rsidR="00645777" w:rsidRPr="00240E04">
        <w:rPr>
          <w:u w:color="272627"/>
        </w:rPr>
        <w:t>and that number is expected to increase markedly with the aging of baby boomers.</w:t>
      </w:r>
      <w:r w:rsidR="00645777" w:rsidRPr="00240E04">
        <w:rPr>
          <w:rFonts w:ascii="Calibri" w:eastAsia="Calibri" w:hAnsi="Calibri" w:cs="Calibri"/>
          <w:u w:color="272627"/>
          <w:vertAlign w:val="superscript"/>
        </w:rPr>
        <w:footnoteReference w:id="1"/>
      </w:r>
      <w:r w:rsidR="00645777" w:rsidRPr="00240E04">
        <w:rPr>
          <w:u w:color="272627"/>
        </w:rPr>
        <w:t xml:space="preserve"> People with disabilities experience significant disadvantages—</w:t>
      </w:r>
      <w:r w:rsidR="00645777" w:rsidRPr="00240E04">
        <w:t>lower employment rates and annual earnings; lower educational attainment; inadequate access to housing, transportation, technology, and health</w:t>
      </w:r>
      <w:r w:rsidR="00240B1C">
        <w:t>-</w:t>
      </w:r>
      <w:r w:rsidR="00645777" w:rsidRPr="00240E04">
        <w:t>care; and greater likelihood of living in poverty.</w:t>
      </w:r>
      <w:r w:rsidR="00645777" w:rsidRPr="00240E04">
        <w:rPr>
          <w:rFonts w:ascii="Calibri" w:eastAsia="Calibri" w:hAnsi="Calibri" w:cs="Calibri"/>
          <w:vertAlign w:val="superscript"/>
        </w:rPr>
        <w:footnoteReference w:id="2"/>
      </w:r>
      <w:r w:rsidR="00645777" w:rsidRPr="00240E04">
        <w:t xml:space="preserve"> The rate of disability is higher for individuals who are American Indian/Alaska Native and African American than for those who are white.</w:t>
      </w:r>
      <w:r w:rsidR="00645777" w:rsidRPr="00240E04">
        <w:rPr>
          <w:rFonts w:ascii="Calibri" w:eastAsia="Calibri" w:hAnsi="Calibri" w:cs="Calibri"/>
          <w:vertAlign w:val="superscript"/>
        </w:rPr>
        <w:footnoteReference w:id="3"/>
      </w:r>
      <w:r w:rsidR="00645777" w:rsidRPr="00240E04">
        <w:t xml:space="preserve"> The need for disability research that can help improve the quality of life of all people with disabilities is pressing. </w:t>
      </w:r>
    </w:p>
    <w:p w14:paraId="22197E62" w14:textId="77777777" w:rsidR="001467B6" w:rsidRDefault="001467B6" w:rsidP="001467B6">
      <w:pPr>
        <w:pStyle w:val="NoSpacing"/>
      </w:pPr>
      <w:r>
        <w:t xml:space="preserve">The Institute of Medicine (IOM) broadly defined disability-related research to encompass: </w:t>
      </w:r>
    </w:p>
    <w:p w14:paraId="4712434D" w14:textId="77777777" w:rsidR="001467B6" w:rsidRDefault="00240B1C" w:rsidP="0036695B">
      <w:pPr>
        <w:pStyle w:val="NoSpacing"/>
        <w:ind w:left="720"/>
      </w:pPr>
      <w:r>
        <w:t xml:space="preserve">Research </w:t>
      </w:r>
      <w:r w:rsidR="001467B6">
        <w:t xml:space="preserve">with the ultimate goals of restoring functioning, maintaining health and preventing secondary conditions, and understanding the factors that contribute to impairments, activity limitations, and participation restrictions. This research takes many forms, including classical clinical trials, </w:t>
      </w:r>
      <w:r w:rsidR="00FE6627">
        <w:t>observational</w:t>
      </w:r>
      <w:r w:rsidR="001467B6">
        <w:t xml:space="preserve"> and epidemiological studies, engineering research, health services research, survey, research on many topics, other kinds of social science and behavioral studies, </w:t>
      </w:r>
      <w:r w:rsidR="00FE6627">
        <w:t>the</w:t>
      </w:r>
      <w:r w:rsidR="001467B6">
        <w:t xml:space="preserve"> development of measures and research tools, and resea</w:t>
      </w:r>
      <w:r w:rsidR="00FE6627">
        <w:t>rch training and other capacity-</w:t>
      </w:r>
      <w:r w:rsidR="001467B6">
        <w:t xml:space="preserve">building activities. </w:t>
      </w:r>
      <w:r w:rsidR="005105BA">
        <w:rPr>
          <w:rStyle w:val="FootnoteReference"/>
        </w:rPr>
        <w:footnoteReference w:id="4"/>
      </w:r>
    </w:p>
    <w:p w14:paraId="22ACC8AD" w14:textId="77777777" w:rsidR="005105BA" w:rsidRDefault="00345F76" w:rsidP="006F0A52">
      <w:pPr>
        <w:pStyle w:val="NoSpacing"/>
      </w:pPr>
      <w:r>
        <w:lastRenderedPageBreak/>
        <w:t xml:space="preserve">Disability research can be </w:t>
      </w:r>
      <w:r w:rsidR="00FB2F51">
        <w:t>life changing</w:t>
      </w:r>
      <w:r>
        <w:t xml:space="preserve"> for people with disabilities. </w:t>
      </w:r>
      <w:r w:rsidR="00FE6627">
        <w:t>The IOM stressed the value of research to clinicians, public agencies, private organizations, families</w:t>
      </w:r>
      <w:r w:rsidR="0082514D">
        <w:t>,</w:t>
      </w:r>
      <w:r w:rsidR="00FE6627">
        <w:t xml:space="preserve"> and individuals with disabilities. Results of such research </w:t>
      </w:r>
      <w:r w:rsidR="005105BA">
        <w:t>can inform decision-making and choices that promote independence, productivity, and community participation.</w:t>
      </w:r>
      <w:r w:rsidR="00FE6627">
        <w:t xml:space="preserve"> </w:t>
      </w:r>
    </w:p>
    <w:p w14:paraId="599B574F" w14:textId="77777777" w:rsidR="002C579A" w:rsidRDefault="002C579A" w:rsidP="00F91515">
      <w:pPr>
        <w:pStyle w:val="Heading3"/>
        <w:rPr>
          <w:rFonts w:eastAsia="Times New Roman"/>
        </w:rPr>
      </w:pPr>
      <w:bookmarkStart w:id="25" w:name="_Toc466991525"/>
    </w:p>
    <w:p w14:paraId="37714FF6" w14:textId="77777777" w:rsidR="00F91515" w:rsidRPr="00240E04" w:rsidRDefault="00F91515" w:rsidP="00F91515">
      <w:pPr>
        <w:pStyle w:val="Heading3"/>
        <w:rPr>
          <w:rFonts w:eastAsia="Times New Roman"/>
        </w:rPr>
      </w:pPr>
      <w:r w:rsidRPr="00240E04">
        <w:rPr>
          <w:rFonts w:eastAsia="Times New Roman"/>
        </w:rPr>
        <w:t>Barriers and Opportunities</w:t>
      </w:r>
      <w:bookmarkEnd w:id="25"/>
    </w:p>
    <w:p w14:paraId="1115572D" w14:textId="77777777" w:rsidR="00F91515" w:rsidRPr="00240E04" w:rsidRDefault="00F91515" w:rsidP="00F91515">
      <w:pPr>
        <w:pStyle w:val="NoSpacing"/>
        <w:rPr>
          <w:rFonts w:eastAsia="Times New Roman"/>
        </w:rPr>
      </w:pPr>
      <w:r>
        <w:rPr>
          <w:rFonts w:eastAsia="Times New Roman"/>
        </w:rPr>
        <w:t>In 2014, the ICDR convened an Expert Panel</w:t>
      </w:r>
      <w:r w:rsidRPr="00240E04">
        <w:rPr>
          <w:rFonts w:eastAsia="Times New Roman"/>
        </w:rPr>
        <w:t xml:space="preserve"> </w:t>
      </w:r>
      <w:r>
        <w:rPr>
          <w:rFonts w:eastAsia="Times New Roman"/>
        </w:rPr>
        <w:t xml:space="preserve">to review research and experiential knowledge related to interagency collaboration in order to identify strategies for promoting and sustaining interagency collaboration and partnerships in disability research. The panel </w:t>
      </w:r>
      <w:r w:rsidRPr="00240E04">
        <w:rPr>
          <w:rFonts w:eastAsia="Times New Roman"/>
        </w:rPr>
        <w:t xml:space="preserve">identified barriers to disability research collaboration that </w:t>
      </w:r>
      <w:r>
        <w:rPr>
          <w:rFonts w:eastAsia="Times New Roman"/>
        </w:rPr>
        <w:t>may</w:t>
      </w:r>
      <w:r w:rsidRPr="00240E04">
        <w:rPr>
          <w:rFonts w:eastAsia="Times New Roman"/>
        </w:rPr>
        <w:t xml:space="preserve"> </w:t>
      </w:r>
      <w:r>
        <w:rPr>
          <w:rFonts w:eastAsia="Times New Roman"/>
        </w:rPr>
        <w:t>affect the</w:t>
      </w:r>
      <w:r w:rsidRPr="00240E04">
        <w:rPr>
          <w:rFonts w:eastAsia="Times New Roman"/>
        </w:rPr>
        <w:t xml:space="preserve"> success of this plan including:</w:t>
      </w:r>
    </w:p>
    <w:p w14:paraId="7ABE25C5" w14:textId="77777777" w:rsidR="00F91515" w:rsidRPr="00BD4C58" w:rsidRDefault="00F91515" w:rsidP="00F91515">
      <w:pPr>
        <w:pStyle w:val="ListParagraph"/>
        <w:numPr>
          <w:ilvl w:val="0"/>
          <w:numId w:val="10"/>
        </w:numPr>
        <w:rPr>
          <w:rFonts w:eastAsia="Times New Roman"/>
        </w:rPr>
      </w:pPr>
      <w:r w:rsidRPr="00BD4C58">
        <w:rPr>
          <w:rFonts w:eastAsia="Times New Roman"/>
        </w:rPr>
        <w:t xml:space="preserve">Limited success in engaging active participation by key </w:t>
      </w:r>
      <w:r w:rsidR="00567725">
        <w:rPr>
          <w:rFonts w:eastAsia="Times New Roman"/>
        </w:rPr>
        <w:t>Federal</w:t>
      </w:r>
      <w:r w:rsidRPr="00BD4C58">
        <w:rPr>
          <w:rFonts w:eastAsia="Times New Roman"/>
        </w:rPr>
        <w:t xml:space="preserve"> statutory members;</w:t>
      </w:r>
    </w:p>
    <w:p w14:paraId="6BBC0142" w14:textId="77777777" w:rsidR="00F91515" w:rsidRPr="00BD4C58" w:rsidRDefault="00F91515" w:rsidP="00F91515">
      <w:pPr>
        <w:pStyle w:val="ListParagraph"/>
        <w:numPr>
          <w:ilvl w:val="0"/>
          <w:numId w:val="10"/>
        </w:numPr>
        <w:rPr>
          <w:rFonts w:eastAsia="Times New Roman"/>
        </w:rPr>
      </w:pPr>
      <w:r w:rsidRPr="00BD4C58">
        <w:rPr>
          <w:rFonts w:eastAsia="Times New Roman"/>
        </w:rPr>
        <w:t xml:space="preserve">The need for a stronger foundation for </w:t>
      </w:r>
      <w:r w:rsidR="00567725">
        <w:rPr>
          <w:rFonts w:eastAsia="Times New Roman"/>
        </w:rPr>
        <w:t>Federal</w:t>
      </w:r>
      <w:r w:rsidRPr="00BD4C58">
        <w:rPr>
          <w:rFonts w:eastAsia="Times New Roman"/>
        </w:rPr>
        <w:t xml:space="preserve"> agencies to share information and collaborate on disability research;</w:t>
      </w:r>
    </w:p>
    <w:p w14:paraId="26892336" w14:textId="77777777" w:rsidR="00F91515" w:rsidRPr="00BD4C58" w:rsidRDefault="00F91515" w:rsidP="00F91515">
      <w:pPr>
        <w:pStyle w:val="ListParagraph"/>
        <w:numPr>
          <w:ilvl w:val="0"/>
          <w:numId w:val="10"/>
        </w:numPr>
        <w:rPr>
          <w:rFonts w:eastAsia="Times New Roman"/>
        </w:rPr>
      </w:pPr>
      <w:r w:rsidRPr="00BD4C58">
        <w:rPr>
          <w:rFonts w:eastAsia="Times New Roman"/>
        </w:rPr>
        <w:t>A lack of funding to support disability research and the infrastructure and initiatives of the ICDR;</w:t>
      </w:r>
    </w:p>
    <w:p w14:paraId="7618872F" w14:textId="77777777" w:rsidR="00F91515" w:rsidRPr="00BD4C58" w:rsidRDefault="00F91515" w:rsidP="00F91515">
      <w:pPr>
        <w:pStyle w:val="ListParagraph"/>
        <w:numPr>
          <w:ilvl w:val="0"/>
          <w:numId w:val="10"/>
        </w:numPr>
        <w:rPr>
          <w:rFonts w:eastAsia="Times New Roman"/>
        </w:rPr>
      </w:pPr>
      <w:r w:rsidRPr="00BD4C58">
        <w:rPr>
          <w:rFonts w:eastAsia="Times New Roman"/>
        </w:rPr>
        <w:t>Ability to balance the broad scope of the ICDR with the need to be pragmatic in what can be successfully accomplished; and</w:t>
      </w:r>
    </w:p>
    <w:p w14:paraId="26071B99" w14:textId="77777777" w:rsidR="00F91515" w:rsidRPr="00BD4C58" w:rsidRDefault="00F91515" w:rsidP="00F91515">
      <w:pPr>
        <w:pStyle w:val="ListParagraph"/>
        <w:numPr>
          <w:ilvl w:val="0"/>
          <w:numId w:val="10"/>
        </w:numPr>
        <w:rPr>
          <w:rFonts w:eastAsia="Times New Roman"/>
        </w:rPr>
      </w:pPr>
      <w:r w:rsidRPr="00BD4C58">
        <w:rPr>
          <w:rFonts w:eastAsia="Times New Roman"/>
        </w:rPr>
        <w:t>The need to engage more stakeholders in the ICDR and disability research.</w:t>
      </w:r>
    </w:p>
    <w:p w14:paraId="79BA8A6E" w14:textId="77777777" w:rsidR="00F91515" w:rsidRDefault="00F91515" w:rsidP="00F91515">
      <w:pPr>
        <w:pStyle w:val="NoSpacing"/>
        <w:rPr>
          <w:rFonts w:eastAsia="Times New Roman"/>
        </w:rPr>
      </w:pPr>
      <w:r>
        <w:rPr>
          <w:rFonts w:eastAsia="Times New Roman"/>
        </w:rPr>
        <w:t xml:space="preserve">The Expert Panel findings echo observations made by the Institute of Medicine (IOM) in its 2007 report </w:t>
      </w:r>
      <w:r w:rsidRPr="00535184">
        <w:rPr>
          <w:rFonts w:eastAsia="Times New Roman"/>
          <w:i/>
        </w:rPr>
        <w:t>The Future of Disability in America</w:t>
      </w:r>
      <w:r>
        <w:rPr>
          <w:rFonts w:eastAsia="Times New Roman"/>
          <w:i/>
        </w:rPr>
        <w:t>.</w:t>
      </w:r>
      <w:r>
        <w:rPr>
          <w:rStyle w:val="FootnoteReference"/>
          <w:rFonts w:eastAsia="Times New Roman"/>
        </w:rPr>
        <w:footnoteReference w:id="5"/>
      </w:r>
      <w:r>
        <w:rPr>
          <w:rFonts w:eastAsia="Times New Roman"/>
        </w:rPr>
        <w:t xml:space="preserve">  The report indicated that ICDR was helpful as an information conduit for agencies to learn about research activities throughout the government and areas of mutual interest. However, a major inhibitor to greater effectiveness was that the ICDR “lacks the authority or incentives to command or entice attention and cooperation from powerful agencies such as NIH and VA” (p. 111</w:t>
      </w:r>
      <w:r w:rsidR="00FB2F51">
        <w:rPr>
          <w:rFonts w:eastAsia="Times New Roman"/>
        </w:rPr>
        <w:t>-</w:t>
      </w:r>
      <w:r>
        <w:rPr>
          <w:rFonts w:eastAsia="Times New Roman"/>
        </w:rPr>
        <w:t xml:space="preserve">112). </w:t>
      </w:r>
    </w:p>
    <w:p w14:paraId="045D939A" w14:textId="77777777" w:rsidR="00F91515" w:rsidRPr="00240E04" w:rsidRDefault="00F91515" w:rsidP="00F91515">
      <w:pPr>
        <w:pStyle w:val="NoSpacing"/>
        <w:rPr>
          <w:rFonts w:eastAsia="Times New Roman"/>
        </w:rPr>
      </w:pPr>
      <w:r>
        <w:rPr>
          <w:rFonts w:eastAsia="Times New Roman"/>
        </w:rPr>
        <w:t xml:space="preserve">Recognizing these long-standing barriers, the ICDR decided to capitalize on synergies and opportunities to collaborate when developing this </w:t>
      </w:r>
      <w:r w:rsidR="007675D1">
        <w:rPr>
          <w:rFonts w:eastAsia="Times New Roman"/>
        </w:rPr>
        <w:t>government-wide</w:t>
      </w:r>
      <w:r w:rsidRPr="00240E04">
        <w:rPr>
          <w:rFonts w:eastAsia="Times New Roman"/>
        </w:rPr>
        <w:t xml:space="preserve"> strategic plan</w:t>
      </w:r>
      <w:r>
        <w:rPr>
          <w:rFonts w:eastAsia="Times New Roman"/>
        </w:rPr>
        <w:t xml:space="preserve"> </w:t>
      </w:r>
      <w:r w:rsidRPr="00240E04">
        <w:rPr>
          <w:rFonts w:eastAsia="Times New Roman"/>
        </w:rPr>
        <w:t xml:space="preserve">including: </w:t>
      </w:r>
    </w:p>
    <w:p w14:paraId="14F43551" w14:textId="77777777" w:rsidR="00F91515" w:rsidRPr="00F15D9A" w:rsidRDefault="00F91515" w:rsidP="00F91515">
      <w:pPr>
        <w:pStyle w:val="ListParagraph"/>
        <w:numPr>
          <w:ilvl w:val="0"/>
          <w:numId w:val="11"/>
        </w:numPr>
      </w:pPr>
      <w:r>
        <w:rPr>
          <w:rFonts w:eastAsia="Times New Roman"/>
        </w:rPr>
        <w:t>L</w:t>
      </w:r>
      <w:r w:rsidRPr="00AF1364">
        <w:rPr>
          <w:rFonts w:eastAsia="Times New Roman"/>
        </w:rPr>
        <w:t>everag</w:t>
      </w:r>
      <w:r>
        <w:rPr>
          <w:rFonts w:eastAsia="Times New Roman"/>
        </w:rPr>
        <w:t>ing</w:t>
      </w:r>
      <w:r w:rsidRPr="00AF1364">
        <w:rPr>
          <w:rFonts w:eastAsia="Times New Roman"/>
        </w:rPr>
        <w:t xml:space="preserve"> efforts and resources between the </w:t>
      </w:r>
      <w:r w:rsidR="007675D1">
        <w:rPr>
          <w:rFonts w:eastAsia="Times New Roman"/>
        </w:rPr>
        <w:t>government-wide</w:t>
      </w:r>
      <w:r w:rsidRPr="00AF1364">
        <w:rPr>
          <w:rFonts w:eastAsia="Times New Roman"/>
        </w:rPr>
        <w:t xml:space="preserve"> strategic plan and other related </w:t>
      </w:r>
      <w:r w:rsidR="00567725">
        <w:rPr>
          <w:rFonts w:eastAsia="Times New Roman"/>
        </w:rPr>
        <w:t>Federal</w:t>
      </w:r>
      <w:r w:rsidRPr="00AF1364">
        <w:rPr>
          <w:rFonts w:eastAsia="Times New Roman"/>
        </w:rPr>
        <w:t xml:space="preserve"> initiatives, advisory committees, and planning efforts</w:t>
      </w:r>
      <w:r>
        <w:rPr>
          <w:rFonts w:eastAsia="Times New Roman"/>
        </w:rPr>
        <w:t>. Examples include</w:t>
      </w:r>
      <w:r w:rsidRPr="00AF1364">
        <w:rPr>
          <w:rFonts w:eastAsia="Times New Roman"/>
        </w:rPr>
        <w:t xml:space="preserve"> the National Institutes of Health Medical Rehabilitation Coordinating Committee (that authored the NIH Rehabilitation Research Plan),</w:t>
      </w:r>
      <w:r w:rsidR="0082514D">
        <w:rPr>
          <w:rFonts w:eastAsia="Times New Roman"/>
        </w:rPr>
        <w:t xml:space="preserve"> </w:t>
      </w:r>
      <w:r>
        <w:rPr>
          <w:rFonts w:eastAsia="Times New Roman"/>
        </w:rPr>
        <w:t>the</w:t>
      </w:r>
      <w:r w:rsidRPr="00AF1364">
        <w:rPr>
          <w:rFonts w:eastAsia="Times New Roman"/>
        </w:rPr>
        <w:t xml:space="preserve"> Interagency Autism Coordinating Committee, </w:t>
      </w:r>
      <w:r>
        <w:rPr>
          <w:rFonts w:eastAsia="Times New Roman"/>
        </w:rPr>
        <w:t xml:space="preserve">the </w:t>
      </w:r>
      <w:r w:rsidR="00567725">
        <w:rPr>
          <w:bCs/>
        </w:rPr>
        <w:t>Federal</w:t>
      </w:r>
      <w:r w:rsidRPr="00AF1364">
        <w:rPr>
          <w:bCs/>
        </w:rPr>
        <w:t xml:space="preserve"> Interagency Traumatic Brain Injury </w:t>
      </w:r>
      <w:r>
        <w:rPr>
          <w:bCs/>
        </w:rPr>
        <w:t xml:space="preserve">Research information system, the </w:t>
      </w:r>
      <w:r w:rsidRPr="00AF1364">
        <w:rPr>
          <w:bCs/>
        </w:rPr>
        <w:t xml:space="preserve">Interagency Pain Research Coordinating Committee, </w:t>
      </w:r>
      <w:r>
        <w:rPr>
          <w:bCs/>
        </w:rPr>
        <w:t xml:space="preserve">the </w:t>
      </w:r>
      <w:r w:rsidRPr="00AF1364">
        <w:rPr>
          <w:bCs/>
        </w:rPr>
        <w:t xml:space="preserve">President’s Committee for People with Intellectual Disabilities, </w:t>
      </w:r>
      <w:r>
        <w:rPr>
          <w:bCs/>
        </w:rPr>
        <w:t xml:space="preserve">the </w:t>
      </w:r>
      <w:r w:rsidRPr="00AF1364">
        <w:rPr>
          <w:rFonts w:eastAsia="Times New Roman"/>
        </w:rPr>
        <w:t xml:space="preserve">Interagency Collaborative to Advance Research in Epilepsy, and </w:t>
      </w:r>
      <w:r w:rsidRPr="00F15D9A">
        <w:rPr>
          <w:rFonts w:eastAsia="Times New Roman"/>
        </w:rPr>
        <w:t xml:space="preserve">others. </w:t>
      </w:r>
    </w:p>
    <w:p w14:paraId="77AE2B01" w14:textId="77777777" w:rsidR="00F91515" w:rsidRDefault="00F91515" w:rsidP="00F91515">
      <w:pPr>
        <w:pStyle w:val="ListParagraph"/>
        <w:numPr>
          <w:ilvl w:val="0"/>
          <w:numId w:val="11"/>
        </w:numPr>
      </w:pPr>
      <w:r>
        <w:t>Capitalizing on the</w:t>
      </w:r>
      <w:r w:rsidRPr="00AF1364">
        <w:t xml:space="preserve"> opportunity</w:t>
      </w:r>
      <w:r w:rsidRPr="00240E04">
        <w:t xml:space="preserve"> created by the requirement for the GWI to harmonize understanding and definitions among agencies about what disability, independent </w:t>
      </w:r>
      <w:r w:rsidRPr="00240E04">
        <w:lastRenderedPageBreak/>
        <w:t>living, and rehabilitation research inclu</w:t>
      </w:r>
      <w:r>
        <w:t xml:space="preserve">des. The ICDR needs to consider the differing </w:t>
      </w:r>
      <w:r w:rsidRPr="00240E04">
        <w:t xml:space="preserve">needs of people with intellectual, social, </w:t>
      </w:r>
      <w:r>
        <w:t>sensory, physical</w:t>
      </w:r>
      <w:r w:rsidR="006C113D">
        <w:t>,</w:t>
      </w:r>
      <w:r>
        <w:t xml:space="preserve"> </w:t>
      </w:r>
      <w:r w:rsidRPr="00240E04">
        <w:t>and psychiatric disabilities. In addition, some individuals, such as people with autism and cerebral palsy need habilitative services</w:t>
      </w:r>
      <w:r>
        <w:t xml:space="preserve"> to gain functioning</w:t>
      </w:r>
      <w:r w:rsidRPr="00240E04">
        <w:t>. These discussions will be important, not only as the ICDR considers its scope of research, but</w:t>
      </w:r>
      <w:r w:rsidR="006C113D">
        <w:t xml:space="preserve"> also</w:t>
      </w:r>
      <w:r w:rsidRPr="00240E04">
        <w:t xml:space="preserve"> in designing the GWI.</w:t>
      </w:r>
    </w:p>
    <w:p w14:paraId="6FB4C99C" w14:textId="77777777" w:rsidR="005F33D4" w:rsidRDefault="00F91515" w:rsidP="00103B05">
      <w:pPr>
        <w:pStyle w:val="ListParagraph"/>
        <w:numPr>
          <w:ilvl w:val="0"/>
          <w:numId w:val="11"/>
        </w:numPr>
      </w:pPr>
      <w:r>
        <w:t xml:space="preserve">Utilizing a broad stakeholder process to hone in on a pragmatic focus on a few crosscutting areas that are achievable and of mutual interest to </w:t>
      </w:r>
      <w:r w:rsidR="0036695B">
        <w:t>multiple</w:t>
      </w:r>
      <w:r>
        <w:t xml:space="preserve"> </w:t>
      </w:r>
      <w:r w:rsidR="00567725">
        <w:t>Federal</w:t>
      </w:r>
      <w:r>
        <w:t xml:space="preserve"> agencies.</w:t>
      </w:r>
    </w:p>
    <w:p w14:paraId="05A75671" w14:textId="77777777" w:rsidR="00F84EC6" w:rsidRDefault="00F84EC6">
      <w:pPr>
        <w:spacing w:before="100" w:after="200"/>
        <w:contextualSpacing w:val="0"/>
      </w:pPr>
      <w:r>
        <w:br w:type="page"/>
      </w:r>
    </w:p>
    <w:p w14:paraId="7FABEEC2" w14:textId="77777777" w:rsidR="007614B6" w:rsidRPr="00240E04" w:rsidRDefault="007614B6" w:rsidP="0007602C">
      <w:pPr>
        <w:pStyle w:val="Heading2"/>
      </w:pPr>
      <w:bookmarkStart w:id="26" w:name="_Toc445474917"/>
      <w:bookmarkStart w:id="27" w:name="_Toc445475470"/>
      <w:bookmarkStart w:id="28" w:name="_Toc445475660"/>
      <w:bookmarkStart w:id="29" w:name="_Toc466991526"/>
      <w:bookmarkEnd w:id="20"/>
      <w:bookmarkEnd w:id="21"/>
      <w:bookmarkEnd w:id="22"/>
      <w:bookmarkEnd w:id="23"/>
      <w:r w:rsidRPr="00240E04">
        <w:lastRenderedPageBreak/>
        <w:t>Strategic Planning Process</w:t>
      </w:r>
      <w:bookmarkEnd w:id="26"/>
      <w:bookmarkEnd w:id="27"/>
      <w:bookmarkEnd w:id="28"/>
      <w:bookmarkEnd w:id="29"/>
    </w:p>
    <w:p w14:paraId="01F39426" w14:textId="77777777" w:rsidR="00645777" w:rsidRPr="00240E04" w:rsidRDefault="00645777" w:rsidP="00BD4C58">
      <w:pPr>
        <w:pStyle w:val="NoSpacing"/>
      </w:pPr>
      <w:r w:rsidRPr="00240E04">
        <w:t xml:space="preserve">The ICDR embarked on a </w:t>
      </w:r>
      <w:r w:rsidR="00110DB7" w:rsidRPr="00240E04">
        <w:t>yearlong</w:t>
      </w:r>
      <w:r w:rsidRPr="00240E04">
        <w:t xml:space="preserve"> planning process to develop the strategic plan. The ICDR Executive Committee (EC), composed of 17 statutory member agencies and invited agency representatives, served as the decision-making body for the strategic planning process. One of the first activities, and a part of the mandated activities required by WIOA, was to set the vision and guiding principles for success. The EC decided to concentrate on the interagency nature of the ICDR and focus on areas that complement what agencies are already doing, while being responsive to priorities in the research and disability communities. </w:t>
      </w:r>
    </w:p>
    <w:p w14:paraId="78871918" w14:textId="77777777" w:rsidR="00645777" w:rsidRDefault="00645777" w:rsidP="00BD4C58">
      <w:pPr>
        <w:pStyle w:val="NoSpacing"/>
      </w:pPr>
      <w:r w:rsidRPr="00240E04">
        <w:t xml:space="preserve">The charge to develop this plan is complex and multi-faceted. Some of its mandated components are discreet tasks that have been successfully completed. Others will require the prioritization of multiple agency partners and significant resources, both human and financial. These, and other challenges, have historically been identified when attempting to unify government investments and priorities </w:t>
      </w:r>
      <w:r w:rsidR="0036695B">
        <w:t>related to</w:t>
      </w:r>
      <w:r w:rsidRPr="00240E04">
        <w:t xml:space="preserve"> disability, independent living, and rehabilitation research.</w:t>
      </w:r>
    </w:p>
    <w:p w14:paraId="71DA9CC3" w14:textId="77777777" w:rsidR="004620FA" w:rsidRDefault="004620FA" w:rsidP="00BD4C58">
      <w:pPr>
        <w:pStyle w:val="NoSpacing"/>
      </w:pPr>
      <w:r>
        <w:t>The strategic plan also builds upon previous efforts to promote interagency collaboration and increase the impact of the ICDR. These efforts include:</w:t>
      </w:r>
    </w:p>
    <w:p w14:paraId="6ABCDD19" w14:textId="77777777" w:rsidR="004620FA" w:rsidRPr="00BD4C58" w:rsidRDefault="00C578CF" w:rsidP="00BB55F3">
      <w:pPr>
        <w:pStyle w:val="ListParagraph"/>
        <w:numPr>
          <w:ilvl w:val="0"/>
          <w:numId w:val="9"/>
        </w:numPr>
        <w:rPr>
          <w:b/>
          <w:i/>
        </w:rPr>
      </w:pPr>
      <w:r>
        <w:t>Focused efforts in Fiscal Years (FYs)</w:t>
      </w:r>
      <w:r w:rsidR="004620FA" w:rsidRPr="00495B33">
        <w:t xml:space="preserve"> 2013-2014 to increase </w:t>
      </w:r>
      <w:r w:rsidR="00567725">
        <w:t>Federal</w:t>
      </w:r>
      <w:r w:rsidR="004620FA" w:rsidRPr="00495B33">
        <w:t xml:space="preserve"> agency awareness of disability and rehabilitation research and related activities across the </w:t>
      </w:r>
      <w:r w:rsidR="00567725">
        <w:t>Federal</w:t>
      </w:r>
      <w:r w:rsidR="004620FA" w:rsidRPr="00495B33">
        <w:t xml:space="preserve"> government. The partnership meetings highlighted the need for the ICDR to facilitate connections and partnerships between </w:t>
      </w:r>
      <w:r w:rsidR="00567725">
        <w:t>Federal</w:t>
      </w:r>
      <w:r w:rsidR="004620FA" w:rsidRPr="00495B33">
        <w:t xml:space="preserve"> agencies and across the disability and rehabilitation research community. </w:t>
      </w:r>
    </w:p>
    <w:p w14:paraId="6A7AF673" w14:textId="77777777" w:rsidR="004620FA" w:rsidRPr="00495B33" w:rsidRDefault="00DD03F7" w:rsidP="00BB55F3">
      <w:pPr>
        <w:pStyle w:val="ListParagraph"/>
        <w:numPr>
          <w:ilvl w:val="0"/>
          <w:numId w:val="9"/>
        </w:numPr>
      </w:pPr>
      <w:hyperlink r:id="rId12" w:history="1">
        <w:r w:rsidR="003C6668" w:rsidRPr="00BD4C58">
          <w:rPr>
            <w:rStyle w:val="Hyperlink"/>
            <w:i/>
          </w:rPr>
          <w:t>Creating a Sustainable Interagency Coordination Network on Disability Research: Report of the Expert Panel</w:t>
        </w:r>
      </w:hyperlink>
      <w:r w:rsidR="003C6668">
        <w:rPr>
          <w:rStyle w:val="Hyperlink"/>
          <w:i/>
        </w:rPr>
        <w:t xml:space="preserve"> </w:t>
      </w:r>
      <w:r w:rsidR="004620FA" w:rsidRPr="00495B33">
        <w:t xml:space="preserve">includes findings and recommendations of an ICDR Expert Panel that met in </w:t>
      </w:r>
      <w:r w:rsidR="004620FA">
        <w:t xml:space="preserve">FY </w:t>
      </w:r>
      <w:r w:rsidR="004620FA" w:rsidRPr="00495B33">
        <w:t xml:space="preserve">2014 to identify the state of the science related to interagency collaboration and </w:t>
      </w:r>
      <w:r w:rsidR="004620FA" w:rsidRPr="00495B33">
        <w:rPr>
          <w:bCs/>
          <w:iCs/>
        </w:rPr>
        <w:t xml:space="preserve">suggest steps toward creating a sustainable interagency coordination network around disability research. </w:t>
      </w:r>
    </w:p>
    <w:p w14:paraId="0A4D88F9" w14:textId="77777777" w:rsidR="004620FA" w:rsidRDefault="00DD03F7" w:rsidP="00BB55F3">
      <w:pPr>
        <w:pStyle w:val="ListParagraph"/>
        <w:numPr>
          <w:ilvl w:val="0"/>
          <w:numId w:val="9"/>
        </w:numPr>
      </w:pPr>
      <w:hyperlink r:id="rId13" w:history="1">
        <w:r w:rsidR="003C6668" w:rsidRPr="00BD4C58">
          <w:rPr>
            <w:rStyle w:val="Hyperlink"/>
            <w:i/>
          </w:rPr>
          <w:t>Primer on Interagency Research Collaboration</w:t>
        </w:r>
      </w:hyperlink>
      <w:r w:rsidR="003C6668">
        <w:rPr>
          <w:rStyle w:val="Hyperlink"/>
          <w:i/>
        </w:rPr>
        <w:t xml:space="preserve"> </w:t>
      </w:r>
      <w:r w:rsidR="004620FA" w:rsidRPr="00495B33">
        <w:t>serves as a reference guide that includes an overview of best practices to foster interagency collaboration based on an ICDR literature review, documents from other interagency research efforts, and the ICDR expert panel report.</w:t>
      </w:r>
    </w:p>
    <w:p w14:paraId="5B8C8136" w14:textId="77777777" w:rsidR="004620FA" w:rsidRPr="00240E04" w:rsidRDefault="004620FA" w:rsidP="00BD4C58">
      <w:pPr>
        <w:pStyle w:val="NoSpacing"/>
      </w:pPr>
      <w:r>
        <w:t xml:space="preserve">After considering the recommendations and lessons learned, the ICDR reviewed other </w:t>
      </w:r>
      <w:r w:rsidR="00567725">
        <w:t>Federal</w:t>
      </w:r>
      <w:r>
        <w:t xml:space="preserve"> strategic planning efforts</w:t>
      </w:r>
      <w:r w:rsidR="00EB1C20">
        <w:t xml:space="preserve">. The EC adopted </w:t>
      </w:r>
      <w:r w:rsidR="007006F6">
        <w:t xml:space="preserve">the process they would use to </w:t>
      </w:r>
      <w:r>
        <w:t xml:space="preserve">develop </w:t>
      </w:r>
      <w:r w:rsidR="007006F6">
        <w:t>the</w:t>
      </w:r>
      <w:r>
        <w:t xml:space="preserve"> </w:t>
      </w:r>
      <w:r w:rsidR="007675D1">
        <w:t>government-wide</w:t>
      </w:r>
      <w:r w:rsidR="008603DF">
        <w:t xml:space="preserve"> </w:t>
      </w:r>
      <w:r w:rsidR="007006F6">
        <w:t>s</w:t>
      </w:r>
      <w:r>
        <w:t xml:space="preserve">trategic </w:t>
      </w:r>
      <w:r w:rsidR="007006F6">
        <w:t>p</w:t>
      </w:r>
      <w:r>
        <w:t>lan in August 2015.</w:t>
      </w:r>
    </w:p>
    <w:p w14:paraId="3845DCC5" w14:textId="77777777" w:rsidR="00D112CB" w:rsidRDefault="00D112CB" w:rsidP="0007602C">
      <w:pPr>
        <w:pStyle w:val="Heading3"/>
      </w:pPr>
      <w:bookmarkStart w:id="30" w:name="_Toc448303338"/>
      <w:bookmarkStart w:id="31" w:name="_Toc466991527"/>
    </w:p>
    <w:p w14:paraId="6B333779" w14:textId="77777777" w:rsidR="009255C9" w:rsidRPr="00240E04" w:rsidRDefault="009255C9" w:rsidP="0007602C">
      <w:pPr>
        <w:pStyle w:val="Heading3"/>
      </w:pPr>
      <w:r w:rsidRPr="00240E04">
        <w:t>Working Groups</w:t>
      </w:r>
      <w:bookmarkEnd w:id="30"/>
      <w:bookmarkEnd w:id="31"/>
    </w:p>
    <w:p w14:paraId="26E408DB" w14:textId="77777777" w:rsidR="007E0DE3" w:rsidRPr="00BD4C58" w:rsidRDefault="00645777" w:rsidP="00BD4C58">
      <w:pPr>
        <w:pStyle w:val="NoSpacing"/>
        <w:rPr>
          <w:rFonts w:eastAsia="Times New Roman" w:cs="Times New Roman"/>
          <w:szCs w:val="24"/>
        </w:rPr>
      </w:pPr>
      <w:r w:rsidRPr="00240E04">
        <w:t xml:space="preserve">Five topical working groups of the ICDR convened to define critical research problems that included more than 100 representatives of </w:t>
      </w:r>
      <w:r w:rsidR="00567725">
        <w:t>Federal</w:t>
      </w:r>
      <w:r w:rsidRPr="00240E04">
        <w:t xml:space="preserve">, research, service provider, and advocacy </w:t>
      </w:r>
      <w:r w:rsidRPr="00240E04">
        <w:lastRenderedPageBreak/>
        <w:t>organizations. According to the WIOA charge, the key content areas for the ICDR to address include assistive technology</w:t>
      </w:r>
      <w:r w:rsidR="00937C06" w:rsidRPr="00240E04">
        <w:t xml:space="preserve"> (AT)</w:t>
      </w:r>
      <w:r w:rsidRPr="00240E04">
        <w:t xml:space="preserve"> and universal design</w:t>
      </w:r>
      <w:r w:rsidR="00937C06" w:rsidRPr="00240E04">
        <w:t xml:space="preserve"> (UD)</w:t>
      </w:r>
      <w:r w:rsidRPr="00240E04">
        <w:t>, education, employment, health</w:t>
      </w:r>
      <w:r w:rsidR="009D5091" w:rsidRPr="00240E04">
        <w:t>,</w:t>
      </w:r>
      <w:r w:rsidR="00D60107" w:rsidRPr="00240E04">
        <w:t xml:space="preserve"> </w:t>
      </w:r>
      <w:r w:rsidR="009D5091" w:rsidRPr="00240E04">
        <w:t xml:space="preserve">rehabilitation, </w:t>
      </w:r>
      <w:r w:rsidRPr="00240E04">
        <w:t xml:space="preserve">wellness, independent living, </w:t>
      </w:r>
      <w:r w:rsidR="00582D7C">
        <w:t xml:space="preserve">and </w:t>
      </w:r>
      <w:r w:rsidRPr="00240E04">
        <w:t>community integration and p</w:t>
      </w:r>
      <w:r w:rsidR="009D5091" w:rsidRPr="00240E04">
        <w:t>articipation</w:t>
      </w:r>
      <w:r w:rsidRPr="00240E04">
        <w:t xml:space="preserve">. Five working groups addressed these topics and generated a list of research </w:t>
      </w:r>
      <w:r w:rsidR="00EB1C20">
        <w:t xml:space="preserve">gaps and opportunities. They refined those suggestions into topics, and solicited further stakeholder input to articulate </w:t>
      </w:r>
      <w:r w:rsidRPr="00240E04">
        <w:t>priorities and recommendations that include underemphasized areas of research</w:t>
      </w:r>
      <w:r w:rsidR="006C18A7" w:rsidRPr="00240E04">
        <w:rPr>
          <w:rFonts w:eastAsia="Times New Roman" w:cs="Times New Roman"/>
          <w:szCs w:val="24"/>
        </w:rPr>
        <w:t xml:space="preserve">. </w:t>
      </w:r>
      <w:r w:rsidR="00F16557" w:rsidRPr="00240E04">
        <w:rPr>
          <w:rFonts w:eastAsia="Times New Roman" w:cs="Times New Roman"/>
          <w:szCs w:val="24"/>
        </w:rPr>
        <w:t xml:space="preserve">This information </w:t>
      </w:r>
      <w:r w:rsidR="000807EA">
        <w:rPr>
          <w:rFonts w:eastAsia="Times New Roman" w:cs="Times New Roman"/>
          <w:szCs w:val="24"/>
        </w:rPr>
        <w:t xml:space="preserve">informed </w:t>
      </w:r>
      <w:r w:rsidR="000807EA" w:rsidRPr="00240E04">
        <w:rPr>
          <w:rFonts w:eastAsia="Times New Roman" w:cs="Times New Roman"/>
          <w:szCs w:val="24"/>
        </w:rPr>
        <w:t>strategic planning deliberations</w:t>
      </w:r>
      <w:r w:rsidR="00DF3B8B">
        <w:rPr>
          <w:rFonts w:eastAsia="Times New Roman" w:cs="Times New Roman"/>
          <w:szCs w:val="24"/>
        </w:rPr>
        <w:t>.</w:t>
      </w:r>
      <w:r w:rsidR="000807EA">
        <w:rPr>
          <w:rFonts w:eastAsia="Times New Roman" w:cs="Times New Roman"/>
          <w:szCs w:val="24"/>
        </w:rPr>
        <w:t xml:space="preserve"> </w:t>
      </w:r>
    </w:p>
    <w:p w14:paraId="1534829E" w14:textId="77777777" w:rsidR="00BD4C58" w:rsidRDefault="00BD4C58" w:rsidP="00BD4C58">
      <w:pPr>
        <w:pStyle w:val="Caption"/>
        <w:jc w:val="center"/>
      </w:pPr>
      <w:r>
        <w:rPr>
          <w:rFonts w:asciiTheme="majorHAnsi" w:eastAsia="Calibri" w:hAnsiTheme="majorHAnsi" w:cs="Times New Roman"/>
          <w:szCs w:val="24"/>
        </w:rPr>
        <w:drawing>
          <wp:inline distT="0" distB="0" distL="0" distR="0" wp14:anchorId="1384A62E" wp14:editId="62E7E762">
            <wp:extent cx="4840605" cy="2969260"/>
            <wp:effectExtent l="0" t="0" r="0" b="2540"/>
            <wp:docPr id="9" name="Picture 9" descr="Five strategic working groups and the ICDR executive committee explained in this section of the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40605" cy="2969260"/>
                    </a:xfrm>
                    <a:prstGeom prst="rect">
                      <a:avLst/>
                    </a:prstGeom>
                    <a:noFill/>
                  </pic:spPr>
                </pic:pic>
              </a:graphicData>
            </a:graphic>
          </wp:inline>
        </w:drawing>
      </w:r>
    </w:p>
    <w:p w14:paraId="1A839EB3" w14:textId="77777777" w:rsidR="00747367" w:rsidRPr="00747367" w:rsidRDefault="00747367" w:rsidP="00747367"/>
    <w:p w14:paraId="466BEE73" w14:textId="77777777" w:rsidR="007E0DE3" w:rsidRDefault="007E0DE3" w:rsidP="0007602C">
      <w:pPr>
        <w:pStyle w:val="Caption"/>
        <w:jc w:val="center"/>
      </w:pPr>
      <w:r w:rsidRPr="00240E04">
        <w:t xml:space="preserve">Figure </w:t>
      </w:r>
      <w:r w:rsidR="00747367">
        <w:rPr>
          <w:noProof w:val="0"/>
        </w:rPr>
        <w:t>2</w:t>
      </w:r>
      <w:r w:rsidRPr="00240E04">
        <w:t>: ICDR Working Groups</w:t>
      </w:r>
    </w:p>
    <w:p w14:paraId="35A79F2C" w14:textId="77777777" w:rsidR="00747367" w:rsidRPr="00747367" w:rsidRDefault="00747367" w:rsidP="00747367"/>
    <w:p w14:paraId="7A923C50" w14:textId="77777777" w:rsidR="00777187" w:rsidRPr="005312B8" w:rsidRDefault="006F420D" w:rsidP="00BB55F3">
      <w:pPr>
        <w:pStyle w:val="ListParagraph"/>
        <w:numPr>
          <w:ilvl w:val="0"/>
          <w:numId w:val="12"/>
        </w:numPr>
      </w:pPr>
      <w:r w:rsidRPr="005312B8">
        <w:t xml:space="preserve">The </w:t>
      </w:r>
      <w:r w:rsidRPr="00747367">
        <w:rPr>
          <w:b/>
        </w:rPr>
        <w:t xml:space="preserve">Assistive Technology and Universal Design (AT/UD) </w:t>
      </w:r>
      <w:r w:rsidRPr="005312B8">
        <w:t>working group scope includes research, design, development, policy, systems, and services related to AT, accessibility of electronic information and technology, products, and environments.</w:t>
      </w:r>
    </w:p>
    <w:p w14:paraId="5720C764" w14:textId="77777777" w:rsidR="00777187" w:rsidRPr="005312B8" w:rsidRDefault="006F420D" w:rsidP="00BB55F3">
      <w:pPr>
        <w:pStyle w:val="ListParagraph"/>
        <w:numPr>
          <w:ilvl w:val="0"/>
          <w:numId w:val="12"/>
        </w:numPr>
      </w:pPr>
      <w:r w:rsidRPr="005312B8">
        <w:t xml:space="preserve">The </w:t>
      </w:r>
      <w:r w:rsidRPr="00747367">
        <w:rPr>
          <w:b/>
        </w:rPr>
        <w:t>Community Integration and Participation (CIP)</w:t>
      </w:r>
      <w:r w:rsidRPr="005312B8">
        <w:t xml:space="preserve"> working group scope includes research, policy, systems, and services related to behavioral, social, and environmental factors affecting inclusion in society.</w:t>
      </w:r>
    </w:p>
    <w:p w14:paraId="1F8E2AC3" w14:textId="77777777" w:rsidR="00777187" w:rsidRPr="005312B8" w:rsidRDefault="006F420D" w:rsidP="00BB55F3">
      <w:pPr>
        <w:pStyle w:val="ListParagraph"/>
        <w:numPr>
          <w:ilvl w:val="0"/>
          <w:numId w:val="12"/>
        </w:numPr>
      </w:pPr>
      <w:r w:rsidRPr="005312B8">
        <w:t xml:space="preserve">The </w:t>
      </w:r>
      <w:r w:rsidRPr="00747367">
        <w:rPr>
          <w:b/>
        </w:rPr>
        <w:t>Employment and Education (EE)</w:t>
      </w:r>
      <w:r w:rsidRPr="005312B8">
        <w:t xml:space="preserve"> working group scope includes research, policy,</w:t>
      </w:r>
      <w:r w:rsidR="00060910">
        <w:t xml:space="preserve"> systems, and services </w:t>
      </w:r>
      <w:r w:rsidRPr="005312B8">
        <w:t>related to employment and self-sufficien</w:t>
      </w:r>
      <w:r w:rsidR="006C113D">
        <w:t>cy of people with disabilities,</w:t>
      </w:r>
      <w:r w:rsidR="00060910">
        <w:t xml:space="preserve"> </w:t>
      </w:r>
      <w:r w:rsidRPr="005312B8">
        <w:t xml:space="preserve">and youth transition to employment, post-secondary education, and community life. </w:t>
      </w:r>
    </w:p>
    <w:p w14:paraId="2C0B2FBE" w14:textId="77777777" w:rsidR="00777187" w:rsidRPr="005312B8" w:rsidRDefault="006F420D" w:rsidP="00BB55F3">
      <w:pPr>
        <w:pStyle w:val="ListParagraph"/>
        <w:numPr>
          <w:ilvl w:val="0"/>
          <w:numId w:val="12"/>
        </w:numPr>
      </w:pPr>
      <w:r w:rsidRPr="005312B8">
        <w:t xml:space="preserve">The </w:t>
      </w:r>
      <w:r w:rsidR="007675D1">
        <w:rPr>
          <w:b/>
        </w:rPr>
        <w:t>Government-</w:t>
      </w:r>
      <w:r w:rsidR="001D20F4">
        <w:rPr>
          <w:b/>
        </w:rPr>
        <w:t>W</w:t>
      </w:r>
      <w:r w:rsidR="007675D1">
        <w:rPr>
          <w:b/>
        </w:rPr>
        <w:t>ide</w:t>
      </w:r>
      <w:r w:rsidRPr="00747367">
        <w:rPr>
          <w:b/>
        </w:rPr>
        <w:t xml:space="preserve"> Inventory (GWI) </w:t>
      </w:r>
      <w:r w:rsidRPr="005312B8">
        <w:t xml:space="preserve">working group is charged with developing the WIOA-mandated </w:t>
      </w:r>
      <w:r w:rsidR="00060910">
        <w:t>GWI</w:t>
      </w:r>
      <w:r w:rsidRPr="005312B8">
        <w:t xml:space="preserve"> of disability, independent living, and rehabilitation research.</w:t>
      </w:r>
    </w:p>
    <w:p w14:paraId="443348A4" w14:textId="77777777" w:rsidR="008F2D9E" w:rsidRDefault="006F420D" w:rsidP="00BB55F3">
      <w:pPr>
        <w:pStyle w:val="ListParagraph"/>
        <w:numPr>
          <w:ilvl w:val="0"/>
          <w:numId w:val="12"/>
        </w:numPr>
      </w:pPr>
      <w:r w:rsidRPr="005312B8">
        <w:t xml:space="preserve">The </w:t>
      </w:r>
      <w:r w:rsidRPr="00747367">
        <w:rPr>
          <w:b/>
        </w:rPr>
        <w:t>Health, Functioning, and Wellness (HFW)</w:t>
      </w:r>
      <w:r w:rsidRPr="005312B8">
        <w:t xml:space="preserve"> working group scope includes research, clinical, translational, policy, systems, and services related to medical rehabilitation, prevention, health and wellness care, public health issues, </w:t>
      </w:r>
      <w:r w:rsidR="005E4FE8">
        <w:t>and surveillance</w:t>
      </w:r>
      <w:r w:rsidRPr="005312B8">
        <w:t xml:space="preserve">. This group </w:t>
      </w:r>
      <w:r w:rsidR="005E4FE8">
        <w:t xml:space="preserve">initially </w:t>
      </w:r>
      <w:r w:rsidRPr="005312B8">
        <w:t xml:space="preserve">focused primarily on health and wellness. An additional </w:t>
      </w:r>
      <w:r w:rsidR="00EB1C20">
        <w:t xml:space="preserve">medical rehabilitation </w:t>
      </w:r>
      <w:r w:rsidR="000316F7">
        <w:lastRenderedPageBreak/>
        <w:t xml:space="preserve">research </w:t>
      </w:r>
      <w:r w:rsidRPr="005312B8">
        <w:t>stakeholder input session suggested the addition of “functioning” to the title of this working group.</w:t>
      </w:r>
    </w:p>
    <w:p w14:paraId="7E769364" w14:textId="77777777" w:rsidR="00D112CB" w:rsidRDefault="00D112CB" w:rsidP="00D112CB">
      <w:pPr>
        <w:pStyle w:val="ListParagraph"/>
        <w:numPr>
          <w:ilvl w:val="0"/>
          <w:numId w:val="0"/>
        </w:numPr>
        <w:ind w:left="720"/>
      </w:pPr>
    </w:p>
    <w:p w14:paraId="26015F09" w14:textId="77777777" w:rsidR="007E0DE3" w:rsidRPr="00240E04" w:rsidRDefault="00D112CB" w:rsidP="0007602C">
      <w:pPr>
        <w:pStyle w:val="Heading3"/>
      </w:pPr>
      <w:bookmarkStart w:id="32" w:name="_Toc448303339"/>
      <w:bookmarkStart w:id="33" w:name="_Toc466991528"/>
      <w:r>
        <w:t xml:space="preserve">Stakeholder </w:t>
      </w:r>
      <w:r w:rsidR="007E0DE3" w:rsidRPr="00240E04">
        <w:t>Input</w:t>
      </w:r>
      <w:bookmarkEnd w:id="32"/>
      <w:bookmarkEnd w:id="33"/>
      <w:r w:rsidR="007E0DE3" w:rsidRPr="00240E04">
        <w:t xml:space="preserve"> </w:t>
      </w:r>
    </w:p>
    <w:p w14:paraId="1DA7B1EA" w14:textId="77777777" w:rsidR="00F325EA" w:rsidRPr="00240E04" w:rsidRDefault="007E0DE3" w:rsidP="00747367">
      <w:pPr>
        <w:pStyle w:val="NoSpacing"/>
      </w:pPr>
      <w:r w:rsidRPr="00240E04">
        <w:t xml:space="preserve">Stakeholders were involved in the strategic planning process </w:t>
      </w:r>
      <w:r w:rsidR="007C3E85" w:rsidRPr="00240E04">
        <w:t>from the start.</w:t>
      </w:r>
      <w:r w:rsidRPr="00240E04">
        <w:t xml:space="preserve"> </w:t>
      </w:r>
      <w:r w:rsidR="00F325EA" w:rsidRPr="00240E04">
        <w:t>Consistent with WIOA, stakeholders include:</w:t>
      </w:r>
    </w:p>
    <w:p w14:paraId="45612916" w14:textId="77777777" w:rsidR="00F325EA" w:rsidRPr="00240E04" w:rsidRDefault="00F325EA" w:rsidP="00BB55F3">
      <w:pPr>
        <w:pStyle w:val="ListParagraph"/>
        <w:numPr>
          <w:ilvl w:val="0"/>
          <w:numId w:val="13"/>
        </w:numPr>
      </w:pPr>
      <w:r w:rsidRPr="00240E04">
        <w:t>Policymakers</w:t>
      </w:r>
    </w:p>
    <w:p w14:paraId="3B720AFB" w14:textId="77777777" w:rsidR="00F325EA" w:rsidRPr="00240E04" w:rsidRDefault="00F325EA" w:rsidP="00BB55F3">
      <w:pPr>
        <w:pStyle w:val="ListParagraph"/>
        <w:numPr>
          <w:ilvl w:val="0"/>
          <w:numId w:val="13"/>
        </w:numPr>
      </w:pPr>
      <w:r w:rsidRPr="00240E04">
        <w:t xml:space="preserve">Representatives from other </w:t>
      </w:r>
      <w:r w:rsidR="00567725">
        <w:t>Federal</w:t>
      </w:r>
      <w:r w:rsidRPr="00240E04">
        <w:t xml:space="preserve"> agencies conducting relevant research</w:t>
      </w:r>
    </w:p>
    <w:p w14:paraId="211C1ECB" w14:textId="77777777" w:rsidR="00F325EA" w:rsidRPr="00240E04" w:rsidRDefault="00F325EA" w:rsidP="00BB55F3">
      <w:pPr>
        <w:pStyle w:val="ListParagraph"/>
        <w:numPr>
          <w:ilvl w:val="0"/>
          <w:numId w:val="13"/>
        </w:numPr>
      </w:pPr>
      <w:r w:rsidRPr="00240E04">
        <w:t>Individuals with disabilities</w:t>
      </w:r>
    </w:p>
    <w:p w14:paraId="4ED622E5" w14:textId="77777777" w:rsidR="00F325EA" w:rsidRPr="00240E04" w:rsidRDefault="00F325EA" w:rsidP="00BB55F3">
      <w:pPr>
        <w:pStyle w:val="ListParagraph"/>
        <w:numPr>
          <w:ilvl w:val="0"/>
          <w:numId w:val="13"/>
        </w:numPr>
      </w:pPr>
      <w:r w:rsidRPr="00240E04">
        <w:t>Organizations representing individuals with disabilities</w:t>
      </w:r>
    </w:p>
    <w:p w14:paraId="08057A2B" w14:textId="77777777" w:rsidR="00F325EA" w:rsidRPr="00240E04" w:rsidRDefault="00F325EA" w:rsidP="00BB55F3">
      <w:pPr>
        <w:pStyle w:val="ListParagraph"/>
        <w:numPr>
          <w:ilvl w:val="0"/>
          <w:numId w:val="13"/>
        </w:numPr>
      </w:pPr>
      <w:r w:rsidRPr="00240E04">
        <w:t>Researchers</w:t>
      </w:r>
    </w:p>
    <w:p w14:paraId="552C8854" w14:textId="77777777" w:rsidR="00F325EA" w:rsidRPr="00240E04" w:rsidRDefault="00F325EA" w:rsidP="00BB55F3">
      <w:pPr>
        <w:pStyle w:val="ListParagraph"/>
        <w:numPr>
          <w:ilvl w:val="0"/>
          <w:numId w:val="13"/>
        </w:numPr>
      </w:pPr>
      <w:r w:rsidRPr="00240E04">
        <w:t>Providers</w:t>
      </w:r>
    </w:p>
    <w:p w14:paraId="2876EE03" w14:textId="77777777" w:rsidR="00DF3B8B" w:rsidRDefault="008F2D9E" w:rsidP="00747367">
      <w:pPr>
        <w:pStyle w:val="NoSpacing"/>
      </w:pPr>
      <w:r>
        <w:t xml:space="preserve">Stakeholders were actively engaged </w:t>
      </w:r>
      <w:r w:rsidR="000316F7">
        <w:t xml:space="preserve">in </w:t>
      </w:r>
      <w:r>
        <w:t>the working groups</w:t>
      </w:r>
      <w:r w:rsidR="00EB1C20">
        <w:t xml:space="preserve">. Additionally, </w:t>
      </w:r>
      <w:r>
        <w:t>the I</w:t>
      </w:r>
      <w:r w:rsidR="00332110" w:rsidRPr="00240E04">
        <w:t xml:space="preserve">CDR held two stakeholder </w:t>
      </w:r>
      <w:r w:rsidR="007E0DE3" w:rsidRPr="00240E04">
        <w:t xml:space="preserve">webinars in November 2015 </w:t>
      </w:r>
      <w:r w:rsidR="00332110" w:rsidRPr="00240E04">
        <w:t xml:space="preserve">to </w:t>
      </w:r>
      <w:r>
        <w:t xml:space="preserve">encourage </w:t>
      </w:r>
      <w:r w:rsidR="007E0DE3" w:rsidRPr="00240E04">
        <w:t>further stakeholder input.</w:t>
      </w:r>
      <w:r>
        <w:t xml:space="preserve"> A second stakeholder </w:t>
      </w:r>
      <w:r w:rsidR="006C18A7" w:rsidRPr="00240E04">
        <w:t xml:space="preserve">webinar in March 2016, </w:t>
      </w:r>
      <w:r>
        <w:t>welcomed stakeholder review and comment</w:t>
      </w:r>
      <w:r w:rsidR="00F325EA" w:rsidRPr="00240E04">
        <w:t xml:space="preserve"> on the strategic plan framework and cross-cutting themes. After receiving </w:t>
      </w:r>
      <w:r w:rsidR="00332110" w:rsidRPr="00240E04">
        <w:t xml:space="preserve">this stakeholder </w:t>
      </w:r>
      <w:r w:rsidR="00F325EA" w:rsidRPr="00240E04">
        <w:t>input, the ICDR held three</w:t>
      </w:r>
      <w:r>
        <w:t xml:space="preserve"> more </w:t>
      </w:r>
      <w:r w:rsidRPr="00240E04">
        <w:t>meetings</w:t>
      </w:r>
      <w:r w:rsidR="00F325EA" w:rsidRPr="00240E04">
        <w:t xml:space="preserve"> to obtain </w:t>
      </w:r>
      <w:r w:rsidR="00332110" w:rsidRPr="00240E04">
        <w:t>additional</w:t>
      </w:r>
      <w:r w:rsidR="006C18A7" w:rsidRPr="00240E04">
        <w:t xml:space="preserve"> </w:t>
      </w:r>
      <w:r w:rsidR="00F325EA" w:rsidRPr="00240E04">
        <w:t>stakeholder input on the medical rehabilitation aspects of disability, independent living</w:t>
      </w:r>
      <w:r w:rsidR="006C18A7" w:rsidRPr="00240E04">
        <w:t>,</w:t>
      </w:r>
      <w:r w:rsidR="00F325EA" w:rsidRPr="00240E04">
        <w:t xml:space="preserve"> and </w:t>
      </w:r>
      <w:r w:rsidR="00F325EA" w:rsidRPr="00F15D9A">
        <w:t>rehabilitation research</w:t>
      </w:r>
      <w:r w:rsidR="008F346F" w:rsidRPr="00F15D9A">
        <w:t xml:space="preserve">. </w:t>
      </w:r>
    </w:p>
    <w:p w14:paraId="7595A75A" w14:textId="77777777" w:rsidR="007909BA" w:rsidRPr="00A67153" w:rsidRDefault="00DF3B8B" w:rsidP="001C704B">
      <w:pPr>
        <w:pStyle w:val="NoSpacing"/>
      </w:pPr>
      <w:r w:rsidRPr="00DF3B8B">
        <w:t>Although this strategic plan does specifically identify underemphasized</w:t>
      </w:r>
      <w:r>
        <w:t xml:space="preserve"> areas of research as required by WIOA in the comprehensive plan, stakeholders identified over 200 research ideas during the stakeholder process. </w:t>
      </w:r>
      <w:r w:rsidR="00EB1C20" w:rsidRPr="00F15D9A">
        <w:t xml:space="preserve">A </w:t>
      </w:r>
      <w:r w:rsidR="000807EA" w:rsidRPr="00F15D9A">
        <w:t xml:space="preserve">supplemental document, </w:t>
      </w:r>
      <w:hyperlink r:id="rId15" w:history="1">
        <w:r w:rsidR="000807EA" w:rsidRPr="00DF3B8B">
          <w:rPr>
            <w:rStyle w:val="Hyperlink"/>
            <w:i/>
          </w:rPr>
          <w:t xml:space="preserve">Working Group Research Gaps, Problem Statements, and </w:t>
        </w:r>
        <w:r w:rsidR="002C11C7" w:rsidRPr="00DF3B8B">
          <w:rPr>
            <w:rStyle w:val="Hyperlink"/>
            <w:i/>
          </w:rPr>
          <w:t>Final Prioritie</w:t>
        </w:r>
        <w:r w:rsidR="000807EA" w:rsidRPr="00DF3B8B">
          <w:rPr>
            <w:rStyle w:val="Hyperlink"/>
            <w:i/>
          </w:rPr>
          <w:t>s</w:t>
        </w:r>
      </w:hyperlink>
      <w:r w:rsidR="00EB1C20" w:rsidRPr="00DF3B8B">
        <w:rPr>
          <w:i/>
        </w:rPr>
        <w:t xml:space="preserve"> </w:t>
      </w:r>
      <w:r w:rsidR="00EB1C20" w:rsidRPr="00DF3B8B">
        <w:t xml:space="preserve">contains the full set of stakeholder ideas </w:t>
      </w:r>
      <w:r w:rsidR="0027207C" w:rsidRPr="00DF3B8B">
        <w:t xml:space="preserve">and working documents </w:t>
      </w:r>
      <w:r w:rsidR="00EB1C20" w:rsidRPr="00DF3B8B">
        <w:t xml:space="preserve">generated in the strategic plan development </w:t>
      </w:r>
      <w:r w:rsidR="0027207C" w:rsidRPr="00DF3B8B">
        <w:t>process.</w:t>
      </w:r>
      <w:r>
        <w:t xml:space="preserve"> </w:t>
      </w:r>
      <w:bookmarkStart w:id="34" w:name="_Objective_3:_Promote"/>
      <w:bookmarkStart w:id="35" w:name="_Objective_4:_Develop"/>
      <w:bookmarkStart w:id="36" w:name="_Objective_5:_Create"/>
      <w:bookmarkStart w:id="37" w:name="_Objective_5:_Develop"/>
      <w:bookmarkStart w:id="38" w:name="_Objective_6:_Convene"/>
      <w:bookmarkStart w:id="39" w:name="_Objective_7:_Convene"/>
      <w:bookmarkStart w:id="40" w:name="_Objective_8:_Convene"/>
      <w:bookmarkStart w:id="41" w:name="_Goal_2:_Develop"/>
      <w:bookmarkStart w:id="42" w:name="substructure-location_c_3"/>
      <w:bookmarkStart w:id="43" w:name="_Appendix_A:_Authorizing"/>
      <w:bookmarkStart w:id="44" w:name="substructure-location_b_2_E"/>
      <w:bookmarkStart w:id="45" w:name="substructure-location_c_2_A_i"/>
      <w:bookmarkStart w:id="46" w:name="substructure-location_c_2_A_ii"/>
      <w:bookmarkStart w:id="47" w:name="substructure-location_c_2_A_iii"/>
      <w:bookmarkStart w:id="48" w:name="substructure-location_c_2_A_iv"/>
      <w:bookmarkStart w:id="49" w:name="substructure-location_c_2_E"/>
      <w:bookmarkStart w:id="50" w:name="substructure-location_c_2_F"/>
      <w:bookmarkStart w:id="51" w:name="substructure-location_d_1_A"/>
      <w:bookmarkStart w:id="52" w:name="substructure-location_d_1_B"/>
      <w:bookmarkStart w:id="53" w:name="substructure-location_e_1"/>
      <w:bookmarkStart w:id="54" w:name="substructure-location_e_2"/>
      <w:bookmarkStart w:id="55" w:name="changeofname-note"/>
      <w:bookmarkStart w:id="56" w:name="_Appendix_B:_About"/>
      <w:bookmarkStart w:id="57" w:name="_Appendix_D:_Research"/>
      <w:bookmarkStart w:id="58" w:name="_Appendix_C:_Working"/>
      <w:bookmarkStart w:id="59" w:name="_Appendix_C:_Strategic"/>
      <w:bookmarkStart w:id="60" w:name="_Appendix_E:_Definitions"/>
      <w:bookmarkStart w:id="61" w:name="substructure-location_c_2_A"/>
      <w:bookmarkStart w:id="62" w:name="substructure-location_c_2_B"/>
      <w:bookmarkStart w:id="63" w:name="substructure-location_c_2_C"/>
      <w:bookmarkStart w:id="64" w:name="substructure-location_c_2_D"/>
      <w:bookmarkStart w:id="65" w:name="_Appendix_G:_Federal"/>
      <w:bookmarkStart w:id="66" w:name="_Appendix_F:_Federal"/>
      <w:bookmarkStart w:id="67" w:name="_Appendix_E:_Federal"/>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sectPr w:rsidR="007909BA" w:rsidRPr="00A67153" w:rsidSect="006F75BF">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1E9A0" w14:textId="77777777" w:rsidR="00DD03F7" w:rsidRDefault="00DD03F7" w:rsidP="006B1735">
      <w:pPr>
        <w:spacing w:line="240" w:lineRule="auto"/>
      </w:pPr>
      <w:r>
        <w:separator/>
      </w:r>
    </w:p>
  </w:endnote>
  <w:endnote w:type="continuationSeparator" w:id="0">
    <w:p w14:paraId="21044500" w14:textId="77777777" w:rsidR="00DD03F7" w:rsidRDefault="00DD03F7" w:rsidP="006B17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GｺﾞｼｯｸM">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Segoe UI">
    <w:charset w:val="00"/>
    <w:family w:val="swiss"/>
    <w:pitch w:val="variable"/>
    <w:sig w:usb0="E10022FF" w:usb1="C000E47F" w:usb2="00000029" w:usb3="00000000" w:csb0="000001DF" w:csb1="00000000"/>
  </w:font>
  <w:font w:name="MinionPro-Regular">
    <w:altName w:val="Times New Roman"/>
    <w:charset w:val="00"/>
    <w:family w:val="auto"/>
    <w:pitch w:val="variable"/>
    <w:sig w:usb0="00000001" w:usb1="00000001" w:usb2="00000000" w:usb3="00000000" w:csb0="0000019F" w:csb1="00000000"/>
  </w:font>
  <w:font w:name="Garamond">
    <w:panose1 w:val="02020404030301010803"/>
    <w:charset w:val="00"/>
    <w:family w:val="auto"/>
    <w:pitch w:val="variable"/>
    <w:sig w:usb0="00000287" w:usb1="00000000" w:usb2="00000000" w:usb3="00000000" w:csb0="0000009F" w:csb1="00000000"/>
  </w:font>
  <w:font w:name="HGMinchoB">
    <w:altName w:val="MS PMincho"/>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41214" w14:textId="77777777" w:rsidR="007F3CD4" w:rsidRDefault="007F3CD4" w:rsidP="006F75BF">
    <w:pPr>
      <w:pStyle w:val="Footer"/>
    </w:pPr>
    <w:r>
      <w:t>Government-W</w:t>
    </w:r>
    <w:r w:rsidRPr="000C69FB">
      <w:t>ide Strategic Plan</w:t>
    </w:r>
    <w:r>
      <w:tab/>
    </w:r>
    <w:r>
      <w:tab/>
    </w:r>
    <w:sdt>
      <w:sdtPr>
        <w:rPr>
          <w:noProof w:val="0"/>
        </w:rPr>
        <w:id w:val="99610678"/>
        <w:docPartObj>
          <w:docPartGallery w:val="Page Numbers (Bottom of Page)"/>
          <w:docPartUnique/>
        </w:docPartObj>
      </w:sdtPr>
      <w:sdtEndPr>
        <w:rPr>
          <w:noProof/>
        </w:rPr>
      </w:sdtEndPr>
      <w:sdtContent>
        <w:r>
          <w:rPr>
            <w:noProof w:val="0"/>
          </w:rPr>
          <w:fldChar w:fldCharType="begin"/>
        </w:r>
        <w:r>
          <w:instrText xml:space="preserve"> PAGE   \* MERGEFORMAT </w:instrText>
        </w:r>
        <w:r>
          <w:rPr>
            <w:noProof w:val="0"/>
          </w:rPr>
          <w:fldChar w:fldCharType="separate"/>
        </w:r>
        <w:r w:rsidR="00B34614">
          <w:t>10</w:t>
        </w:r>
        <w:r>
          <w:fldChar w:fldCharType="end"/>
        </w:r>
      </w:sdtContent>
    </w:sdt>
  </w:p>
  <w:p w14:paraId="4EA658EA" w14:textId="77777777" w:rsidR="007F3CD4" w:rsidRDefault="007F3C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54301" w14:textId="77777777" w:rsidR="00DD03F7" w:rsidRDefault="00DD03F7" w:rsidP="006B1735">
      <w:pPr>
        <w:spacing w:line="240" w:lineRule="auto"/>
      </w:pPr>
      <w:r>
        <w:separator/>
      </w:r>
    </w:p>
  </w:footnote>
  <w:footnote w:type="continuationSeparator" w:id="0">
    <w:p w14:paraId="2BDF685C" w14:textId="77777777" w:rsidR="00DD03F7" w:rsidRDefault="00DD03F7" w:rsidP="006B1735">
      <w:pPr>
        <w:spacing w:line="240" w:lineRule="auto"/>
      </w:pPr>
      <w:r>
        <w:continuationSeparator/>
      </w:r>
    </w:p>
  </w:footnote>
  <w:footnote w:id="1">
    <w:p w14:paraId="0F90A78E" w14:textId="77777777" w:rsidR="007F3CD4" w:rsidRPr="0082514D" w:rsidRDefault="007F3CD4" w:rsidP="00645777">
      <w:pPr>
        <w:pStyle w:val="FootnoteText"/>
        <w:rPr>
          <w:rFonts w:asciiTheme="minorHAnsi" w:hAnsiTheme="minorHAnsi" w:cstheme="minorHAnsi"/>
        </w:rPr>
      </w:pPr>
      <w:r w:rsidRPr="0082514D">
        <w:rPr>
          <w:rFonts w:asciiTheme="minorHAnsi" w:hAnsiTheme="minorHAnsi" w:cstheme="minorHAnsi"/>
          <w:color w:val="272627"/>
          <w:u w:color="272627"/>
          <w:vertAlign w:val="superscript"/>
        </w:rPr>
        <w:footnoteRef/>
      </w:r>
      <w:r w:rsidRPr="0082514D">
        <w:rPr>
          <w:rFonts w:asciiTheme="minorHAnsi" w:eastAsia="Arial Unicode MS" w:hAnsiTheme="minorHAnsi" w:cstheme="minorHAnsi"/>
        </w:rPr>
        <w:t xml:space="preserve"> Centers for Disease Control and Prevention. July 31, 2015. Morbidity and Mortality Weekly Report, </w:t>
      </w:r>
      <w:r w:rsidRPr="0082514D">
        <w:rPr>
          <w:rFonts w:asciiTheme="minorHAnsi" w:eastAsia="Arial Unicode MS" w:hAnsiTheme="minorHAnsi" w:cstheme="minorHAnsi"/>
          <w:i/>
        </w:rPr>
        <w:t>Prevalence of Disability and Disability Type Among Adults — United States, 2013</w:t>
      </w:r>
      <w:r w:rsidRPr="0082514D">
        <w:rPr>
          <w:rFonts w:asciiTheme="minorHAnsi" w:eastAsia="Arial Unicode MS" w:hAnsiTheme="minorHAnsi" w:cstheme="minorHAnsi"/>
          <w:color w:val="000000"/>
          <w:kern w:val="36"/>
          <w:u w:color="000000"/>
        </w:rPr>
        <w:t xml:space="preserve">. </w:t>
      </w:r>
      <w:r w:rsidRPr="0082514D">
        <w:rPr>
          <w:rFonts w:asciiTheme="minorHAnsi" w:eastAsia="Arial Unicode MS" w:hAnsiTheme="minorHAnsi" w:cstheme="minorHAnsi"/>
        </w:rPr>
        <w:t>64(29), 777-783.</w:t>
      </w:r>
      <w:r w:rsidRPr="0082514D">
        <w:rPr>
          <w:rFonts w:asciiTheme="minorHAnsi" w:eastAsia="Arial Unicode MS" w:hAnsiTheme="minorHAnsi" w:cstheme="minorHAnsi"/>
          <w:color w:val="000000"/>
          <w:kern w:val="36"/>
          <w:u w:color="000000"/>
        </w:rPr>
        <w:t xml:space="preserve"> Available at:</w:t>
      </w:r>
      <w:r w:rsidRPr="0036695B">
        <w:rPr>
          <w:rFonts w:asciiTheme="minorHAnsi" w:hAnsiTheme="minorHAnsi" w:cstheme="minorHAnsi"/>
        </w:rPr>
        <w:t xml:space="preserve"> </w:t>
      </w:r>
      <w:hyperlink r:id="rId1" w:tooltip="Morbidity and Mortality Weekly Report, Prevalence of Disability and Disability Type Among Adults — United States, 2013" w:history="1">
        <w:r w:rsidRPr="0082514D">
          <w:rPr>
            <w:rStyle w:val="Hyperlink"/>
            <w:rFonts w:asciiTheme="minorHAnsi" w:eastAsia="Arial Unicode MS" w:hAnsiTheme="minorHAnsi" w:cstheme="minorHAnsi"/>
            <w:kern w:val="36"/>
            <w:u w:color="000000"/>
          </w:rPr>
          <w:t>http://www.cdc.gov/mmwr/preview/mmwrhtml/mm6429a2.htm</w:t>
        </w:r>
      </w:hyperlink>
    </w:p>
  </w:footnote>
  <w:footnote w:id="2">
    <w:p w14:paraId="3B78AA8F" w14:textId="77777777" w:rsidR="007F3CD4" w:rsidRPr="0082514D" w:rsidRDefault="007F3CD4" w:rsidP="00645777">
      <w:pPr>
        <w:pStyle w:val="FootnoteText"/>
        <w:rPr>
          <w:rFonts w:asciiTheme="minorHAnsi" w:hAnsiTheme="minorHAnsi" w:cstheme="minorHAnsi"/>
        </w:rPr>
      </w:pPr>
      <w:r w:rsidRPr="0082514D">
        <w:rPr>
          <w:rFonts w:asciiTheme="minorHAnsi" w:hAnsiTheme="minorHAnsi" w:cstheme="minorHAnsi"/>
          <w:vertAlign w:val="superscript"/>
        </w:rPr>
        <w:footnoteRef/>
      </w:r>
      <w:r w:rsidRPr="0082514D">
        <w:rPr>
          <w:rFonts w:asciiTheme="minorHAnsi" w:eastAsia="Arial Unicode MS" w:hAnsiTheme="minorHAnsi" w:cstheme="minorHAnsi"/>
        </w:rPr>
        <w:t xml:space="preserve"> National Council on Disability. October 2011. </w:t>
      </w:r>
      <w:r w:rsidRPr="0082514D">
        <w:rPr>
          <w:rFonts w:asciiTheme="minorHAnsi" w:eastAsia="Arial Unicode MS" w:hAnsiTheme="minorHAnsi" w:cstheme="minorHAnsi"/>
          <w:i/>
        </w:rPr>
        <w:t xml:space="preserve">National Disability Policy: A Progress Report. </w:t>
      </w:r>
      <w:r w:rsidRPr="0082514D">
        <w:rPr>
          <w:rFonts w:asciiTheme="minorHAnsi" w:eastAsia="Arial Unicode MS" w:hAnsiTheme="minorHAnsi" w:cstheme="minorHAnsi"/>
        </w:rPr>
        <w:t xml:space="preserve">Available at: </w:t>
      </w:r>
      <w:hyperlink r:id="rId2" w:tooltip="National Disability Policy: A Progress Report" w:history="1">
        <w:r w:rsidRPr="002C63B9">
          <w:rPr>
            <w:rStyle w:val="Hyperlink0"/>
            <w:rFonts w:asciiTheme="minorHAnsi" w:eastAsia="Arial Unicode MS" w:hAnsiTheme="minorHAnsi" w:cstheme="minorHAnsi"/>
            <w:color w:val="3333CC"/>
          </w:rPr>
          <w:t>http://www.ncd.gov/progress_reports/Oct312011</w:t>
        </w:r>
      </w:hyperlink>
      <w:r w:rsidRPr="0082514D">
        <w:rPr>
          <w:rFonts w:asciiTheme="minorHAnsi" w:eastAsia="Arial Unicode MS" w:hAnsiTheme="minorHAnsi" w:cstheme="minorHAnsi"/>
        </w:rPr>
        <w:t xml:space="preserve">. </w:t>
      </w:r>
    </w:p>
  </w:footnote>
  <w:footnote w:id="3">
    <w:p w14:paraId="1F33FDBA" w14:textId="77777777" w:rsidR="007F3CD4" w:rsidRPr="0082514D" w:rsidRDefault="007F3CD4" w:rsidP="00645777">
      <w:pPr>
        <w:pStyle w:val="FootnoteText"/>
        <w:rPr>
          <w:rFonts w:asciiTheme="minorHAnsi" w:hAnsiTheme="minorHAnsi" w:cstheme="minorHAnsi"/>
        </w:rPr>
      </w:pPr>
      <w:r w:rsidRPr="0082514D">
        <w:rPr>
          <w:rFonts w:asciiTheme="minorHAnsi" w:hAnsiTheme="minorHAnsi" w:cstheme="minorHAnsi"/>
          <w:vertAlign w:val="superscript"/>
        </w:rPr>
        <w:footnoteRef/>
      </w:r>
      <w:r w:rsidRPr="0082514D">
        <w:rPr>
          <w:rFonts w:asciiTheme="minorHAnsi" w:eastAsia="Arial Unicode MS" w:hAnsiTheme="minorHAnsi" w:cstheme="minorHAnsi"/>
        </w:rPr>
        <w:t xml:space="preserve"> Centers for Disease Control and Prevention. October 7, 2011. Morbidity and Mortality Weekly Report, </w:t>
      </w:r>
      <w:r w:rsidRPr="0082514D">
        <w:rPr>
          <w:rFonts w:asciiTheme="minorHAnsi" w:eastAsia="Arial Unicode MS" w:hAnsiTheme="minorHAnsi" w:cstheme="minorHAnsi"/>
          <w:i/>
        </w:rPr>
        <w:t xml:space="preserve">QuickStats: Percentage of Adults Aged </w:t>
      </w:r>
      <w:r w:rsidRPr="0082514D">
        <w:rPr>
          <w:rFonts w:asciiTheme="minorHAnsi" w:eastAsia="Arial Unicode MS" w:hAnsiTheme="minorHAnsi" w:cstheme="minorHAnsi"/>
          <w:i/>
          <w:color w:val="000000"/>
          <w:kern w:val="36"/>
          <w:u w:color="000000"/>
        </w:rPr>
        <w:t xml:space="preserve">≥18 Years with a Complex Activity Limitation, by Race/Ethnicity </w:t>
      </w:r>
      <w:r w:rsidRPr="0082514D">
        <w:rPr>
          <w:rFonts w:asciiTheme="minorHAnsi" w:eastAsia="Arial Unicode MS" w:hAnsiTheme="minorHAnsi" w:cstheme="minorHAnsi"/>
          <w:color w:val="000000"/>
          <w:kern w:val="36"/>
          <w:u w:color="000000"/>
        </w:rPr>
        <w:t xml:space="preserve">--- National Health Interview Survey, United States, 2003—2009. 60(39), 1361. Available at: </w:t>
      </w:r>
      <w:hyperlink r:id="rId3" w:tooltip="Morbidity and Mortality Weekly Report, QuickStats: Percentage of Adults Aged ≥18 Years with a Complex Activity Limitation, by Race/Ethnicity" w:history="1">
        <w:r w:rsidRPr="002C63B9">
          <w:rPr>
            <w:rStyle w:val="Hyperlink1"/>
            <w:rFonts w:asciiTheme="minorHAnsi" w:eastAsia="Arial Unicode MS" w:hAnsiTheme="minorHAnsi" w:cstheme="minorHAnsi"/>
            <w:color w:val="3333CC"/>
          </w:rPr>
          <w:t>http://www.cdc.gov/mmwr/preview/mmwrhtml/mm6039a9.htm?s_cid=mm6039a9_w</w:t>
        </w:r>
      </w:hyperlink>
      <w:r w:rsidRPr="0082514D">
        <w:rPr>
          <w:rFonts w:asciiTheme="minorHAnsi" w:eastAsia="Arial Unicode MS" w:hAnsiTheme="minorHAnsi" w:cstheme="minorHAnsi"/>
          <w:color w:val="000000"/>
          <w:kern w:val="36"/>
          <w:u w:color="000000"/>
        </w:rPr>
        <w:t xml:space="preserve">. </w:t>
      </w:r>
    </w:p>
  </w:footnote>
  <w:footnote w:id="4">
    <w:p w14:paraId="289990E1" w14:textId="77777777" w:rsidR="007F3CD4" w:rsidRPr="0036695B" w:rsidRDefault="007F3CD4">
      <w:pPr>
        <w:pStyle w:val="FootnoteText"/>
        <w:rPr>
          <w:rFonts w:asciiTheme="minorHAnsi" w:hAnsiTheme="minorHAnsi" w:cstheme="minorHAnsi"/>
        </w:rPr>
      </w:pPr>
      <w:r w:rsidRPr="0036695B">
        <w:rPr>
          <w:rStyle w:val="FootnoteReference"/>
          <w:rFonts w:asciiTheme="minorHAnsi" w:hAnsiTheme="minorHAnsi" w:cstheme="minorHAnsi"/>
        </w:rPr>
        <w:footnoteRef/>
      </w:r>
      <w:r w:rsidRPr="0036695B">
        <w:rPr>
          <w:rFonts w:asciiTheme="minorHAnsi" w:hAnsiTheme="minorHAnsi" w:cstheme="minorHAnsi"/>
        </w:rPr>
        <w:t xml:space="preserve"> Institute of Medicine. (2007). </w:t>
      </w:r>
      <w:r w:rsidRPr="0036695B">
        <w:rPr>
          <w:rFonts w:asciiTheme="minorHAnsi" w:hAnsiTheme="minorHAnsi" w:cstheme="minorHAnsi"/>
          <w:i/>
        </w:rPr>
        <w:t>The Future of Disabilty in America</w:t>
      </w:r>
      <w:r w:rsidRPr="0036695B">
        <w:rPr>
          <w:rFonts w:asciiTheme="minorHAnsi" w:hAnsiTheme="minorHAnsi" w:cstheme="minorHAnsi"/>
        </w:rPr>
        <w:t>. Washington, DC: The National Academy Press</w:t>
      </w:r>
    </w:p>
  </w:footnote>
  <w:footnote w:id="5">
    <w:p w14:paraId="2657C615" w14:textId="77777777" w:rsidR="007F3CD4" w:rsidRDefault="007F3CD4" w:rsidP="00F91515">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C0769"/>
    <w:multiLevelType w:val="hybridMultilevel"/>
    <w:tmpl w:val="CD92F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81E64"/>
    <w:multiLevelType w:val="hybridMultilevel"/>
    <w:tmpl w:val="4D4E142C"/>
    <w:styleLink w:val="ImportedStyle14"/>
    <w:lvl w:ilvl="0" w:tplc="33768A2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3E0A4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480C16">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A006C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26AD2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76C29C">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FE137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5029F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12FA50">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909477B"/>
    <w:multiLevelType w:val="hybridMultilevel"/>
    <w:tmpl w:val="F3C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F4F0F"/>
    <w:multiLevelType w:val="hybridMultilevel"/>
    <w:tmpl w:val="70ACE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14474"/>
    <w:multiLevelType w:val="hybridMultilevel"/>
    <w:tmpl w:val="FED4AC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0A4AD0"/>
    <w:multiLevelType w:val="hybridMultilevel"/>
    <w:tmpl w:val="AB267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F230F0"/>
    <w:multiLevelType w:val="hybridMultilevel"/>
    <w:tmpl w:val="5C50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D40FC2"/>
    <w:multiLevelType w:val="hybridMultilevel"/>
    <w:tmpl w:val="7F5E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CB0042"/>
    <w:multiLevelType w:val="hybridMultilevel"/>
    <w:tmpl w:val="E3221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3D1E68"/>
    <w:multiLevelType w:val="hybridMultilevel"/>
    <w:tmpl w:val="5FACB8D0"/>
    <w:styleLink w:val="ImportedStyle3"/>
    <w:lvl w:ilvl="0" w:tplc="B4BE80B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CCF0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2E0F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68C07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14BB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B420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2EBD4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608F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9633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2B99518F"/>
    <w:multiLevelType w:val="hybridMultilevel"/>
    <w:tmpl w:val="2C229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505C32"/>
    <w:multiLevelType w:val="hybridMultilevel"/>
    <w:tmpl w:val="6608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F5015C"/>
    <w:multiLevelType w:val="hybridMultilevel"/>
    <w:tmpl w:val="C94E5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696D2A"/>
    <w:multiLevelType w:val="multilevel"/>
    <w:tmpl w:val="8DB841E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B8807BA"/>
    <w:multiLevelType w:val="hybridMultilevel"/>
    <w:tmpl w:val="405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DD1CA1"/>
    <w:multiLevelType w:val="hybridMultilevel"/>
    <w:tmpl w:val="E63873CA"/>
    <w:lvl w:ilvl="0" w:tplc="CF825D7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3B687E"/>
    <w:multiLevelType w:val="hybridMultilevel"/>
    <w:tmpl w:val="73306512"/>
    <w:lvl w:ilvl="0" w:tplc="CF825D7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270E4F"/>
    <w:multiLevelType w:val="hybridMultilevel"/>
    <w:tmpl w:val="2F6492DA"/>
    <w:lvl w:ilvl="0" w:tplc="CF825D7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F34D21"/>
    <w:multiLevelType w:val="hybridMultilevel"/>
    <w:tmpl w:val="EC169062"/>
    <w:lvl w:ilvl="0" w:tplc="AA8066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EB7F73"/>
    <w:multiLevelType w:val="hybridMultilevel"/>
    <w:tmpl w:val="602A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D1470D"/>
    <w:multiLevelType w:val="hybridMultilevel"/>
    <w:tmpl w:val="FA6A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6A55DB"/>
    <w:multiLevelType w:val="hybridMultilevel"/>
    <w:tmpl w:val="E42E6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1790520"/>
    <w:multiLevelType w:val="hybridMultilevel"/>
    <w:tmpl w:val="5C360BD4"/>
    <w:lvl w:ilvl="0" w:tplc="6CEC3B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E15FD0"/>
    <w:multiLevelType w:val="hybridMultilevel"/>
    <w:tmpl w:val="DFBCC154"/>
    <w:lvl w:ilvl="0" w:tplc="E658733A">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8"/>
  </w:num>
  <w:num w:numId="3">
    <w:abstractNumId w:val="3"/>
  </w:num>
  <w:num w:numId="4">
    <w:abstractNumId w:val="10"/>
  </w:num>
  <w:num w:numId="5">
    <w:abstractNumId w:val="1"/>
  </w:num>
  <w:num w:numId="6">
    <w:abstractNumId w:val="9"/>
  </w:num>
  <w:num w:numId="7">
    <w:abstractNumId w:val="4"/>
  </w:num>
  <w:num w:numId="8">
    <w:abstractNumId w:val="22"/>
  </w:num>
  <w:num w:numId="9">
    <w:abstractNumId w:val="14"/>
  </w:num>
  <w:num w:numId="10">
    <w:abstractNumId w:val="11"/>
  </w:num>
  <w:num w:numId="11">
    <w:abstractNumId w:val="19"/>
  </w:num>
  <w:num w:numId="12">
    <w:abstractNumId w:val="0"/>
  </w:num>
  <w:num w:numId="13">
    <w:abstractNumId w:val="6"/>
  </w:num>
  <w:num w:numId="14">
    <w:abstractNumId w:val="18"/>
  </w:num>
  <w:num w:numId="15">
    <w:abstractNumId w:val="20"/>
  </w:num>
  <w:num w:numId="16">
    <w:abstractNumId w:val="2"/>
  </w:num>
  <w:num w:numId="17">
    <w:abstractNumId w:val="7"/>
  </w:num>
  <w:num w:numId="18">
    <w:abstractNumId w:val="21"/>
  </w:num>
  <w:num w:numId="19">
    <w:abstractNumId w:val="16"/>
  </w:num>
  <w:num w:numId="20">
    <w:abstractNumId w:val="15"/>
  </w:num>
  <w:num w:numId="21">
    <w:abstractNumId w:val="17"/>
  </w:num>
  <w:num w:numId="22">
    <w:abstractNumId w:val="12"/>
  </w:num>
  <w:num w:numId="23">
    <w:abstractNumId w:val="5"/>
  </w:num>
  <w:num w:numId="24">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4F"/>
    <w:rsid w:val="00000995"/>
    <w:rsid w:val="000030FA"/>
    <w:rsid w:val="000039A7"/>
    <w:rsid w:val="000066A9"/>
    <w:rsid w:val="00013B1B"/>
    <w:rsid w:val="00016B0B"/>
    <w:rsid w:val="00023A82"/>
    <w:rsid w:val="00023D96"/>
    <w:rsid w:val="0002676D"/>
    <w:rsid w:val="00026ACE"/>
    <w:rsid w:val="000275FF"/>
    <w:rsid w:val="00030C73"/>
    <w:rsid w:val="00030D1A"/>
    <w:rsid w:val="000315A0"/>
    <w:rsid w:val="000316F7"/>
    <w:rsid w:val="00036C42"/>
    <w:rsid w:val="00036DF0"/>
    <w:rsid w:val="0004501D"/>
    <w:rsid w:val="00052D0A"/>
    <w:rsid w:val="00056D39"/>
    <w:rsid w:val="00057409"/>
    <w:rsid w:val="00060910"/>
    <w:rsid w:val="00062127"/>
    <w:rsid w:val="00062E0B"/>
    <w:rsid w:val="000635A0"/>
    <w:rsid w:val="00063AF1"/>
    <w:rsid w:val="00066FD3"/>
    <w:rsid w:val="00075280"/>
    <w:rsid w:val="0007602C"/>
    <w:rsid w:val="00076938"/>
    <w:rsid w:val="00076D75"/>
    <w:rsid w:val="000805E0"/>
    <w:rsid w:val="000807EA"/>
    <w:rsid w:val="000A2EAC"/>
    <w:rsid w:val="000A52F6"/>
    <w:rsid w:val="000B3E6B"/>
    <w:rsid w:val="000B3F66"/>
    <w:rsid w:val="000B55FB"/>
    <w:rsid w:val="000B6A16"/>
    <w:rsid w:val="000C69FB"/>
    <w:rsid w:val="000C73F7"/>
    <w:rsid w:val="000C7915"/>
    <w:rsid w:val="000D1C9D"/>
    <w:rsid w:val="000D3F15"/>
    <w:rsid w:val="000D7618"/>
    <w:rsid w:val="000E0DD3"/>
    <w:rsid w:val="000E7639"/>
    <w:rsid w:val="000F6539"/>
    <w:rsid w:val="001003DF"/>
    <w:rsid w:val="00103B05"/>
    <w:rsid w:val="00104D46"/>
    <w:rsid w:val="00107F10"/>
    <w:rsid w:val="00110DB7"/>
    <w:rsid w:val="001130A7"/>
    <w:rsid w:val="001323C2"/>
    <w:rsid w:val="00134A67"/>
    <w:rsid w:val="00144FEE"/>
    <w:rsid w:val="001467B6"/>
    <w:rsid w:val="0014729C"/>
    <w:rsid w:val="001505DE"/>
    <w:rsid w:val="0015233F"/>
    <w:rsid w:val="00154641"/>
    <w:rsid w:val="00154DAB"/>
    <w:rsid w:val="00173FF3"/>
    <w:rsid w:val="00176FFE"/>
    <w:rsid w:val="0018005B"/>
    <w:rsid w:val="0018533D"/>
    <w:rsid w:val="0019231B"/>
    <w:rsid w:val="00192A94"/>
    <w:rsid w:val="00196ACA"/>
    <w:rsid w:val="001A1A97"/>
    <w:rsid w:val="001A574F"/>
    <w:rsid w:val="001A76F5"/>
    <w:rsid w:val="001B041E"/>
    <w:rsid w:val="001B0EB2"/>
    <w:rsid w:val="001B2670"/>
    <w:rsid w:val="001C5720"/>
    <w:rsid w:val="001C704B"/>
    <w:rsid w:val="001C76A3"/>
    <w:rsid w:val="001D0257"/>
    <w:rsid w:val="001D04A9"/>
    <w:rsid w:val="001D20F4"/>
    <w:rsid w:val="001D2E66"/>
    <w:rsid w:val="001D303A"/>
    <w:rsid w:val="001D5021"/>
    <w:rsid w:val="001E1323"/>
    <w:rsid w:val="001E346E"/>
    <w:rsid w:val="001E7731"/>
    <w:rsid w:val="001F3620"/>
    <w:rsid w:val="001F4E8A"/>
    <w:rsid w:val="00200E5E"/>
    <w:rsid w:val="0020515F"/>
    <w:rsid w:val="002067AE"/>
    <w:rsid w:val="00206F43"/>
    <w:rsid w:val="00210A09"/>
    <w:rsid w:val="002154D4"/>
    <w:rsid w:val="00216109"/>
    <w:rsid w:val="00221F28"/>
    <w:rsid w:val="00225287"/>
    <w:rsid w:val="0023380F"/>
    <w:rsid w:val="002356B5"/>
    <w:rsid w:val="002359BE"/>
    <w:rsid w:val="00236BCE"/>
    <w:rsid w:val="00240B1C"/>
    <w:rsid w:val="00240E04"/>
    <w:rsid w:val="00243C3D"/>
    <w:rsid w:val="002466DF"/>
    <w:rsid w:val="00247BB6"/>
    <w:rsid w:val="0025474F"/>
    <w:rsid w:val="00255F5E"/>
    <w:rsid w:val="002574A0"/>
    <w:rsid w:val="00261890"/>
    <w:rsid w:val="00263E18"/>
    <w:rsid w:val="0026625F"/>
    <w:rsid w:val="0027207C"/>
    <w:rsid w:val="0027242A"/>
    <w:rsid w:val="00273C79"/>
    <w:rsid w:val="002740AD"/>
    <w:rsid w:val="00276A04"/>
    <w:rsid w:val="00277680"/>
    <w:rsid w:val="002809AD"/>
    <w:rsid w:val="002856A6"/>
    <w:rsid w:val="00286D7D"/>
    <w:rsid w:val="00287F98"/>
    <w:rsid w:val="0029625C"/>
    <w:rsid w:val="00297BFD"/>
    <w:rsid w:val="002A0E1D"/>
    <w:rsid w:val="002A1B7E"/>
    <w:rsid w:val="002A61C5"/>
    <w:rsid w:val="002B2067"/>
    <w:rsid w:val="002B20AC"/>
    <w:rsid w:val="002B62E9"/>
    <w:rsid w:val="002C007A"/>
    <w:rsid w:val="002C11C7"/>
    <w:rsid w:val="002C2301"/>
    <w:rsid w:val="002C2C90"/>
    <w:rsid w:val="002C362F"/>
    <w:rsid w:val="002C5044"/>
    <w:rsid w:val="002C519B"/>
    <w:rsid w:val="002C579A"/>
    <w:rsid w:val="002C63B9"/>
    <w:rsid w:val="002D7420"/>
    <w:rsid w:val="002E0059"/>
    <w:rsid w:val="002E0B10"/>
    <w:rsid w:val="002E3157"/>
    <w:rsid w:val="002F1105"/>
    <w:rsid w:val="002F209B"/>
    <w:rsid w:val="002F2BF7"/>
    <w:rsid w:val="002F5152"/>
    <w:rsid w:val="003006A8"/>
    <w:rsid w:val="003013D6"/>
    <w:rsid w:val="0030240C"/>
    <w:rsid w:val="00302B16"/>
    <w:rsid w:val="00310E70"/>
    <w:rsid w:val="00310F22"/>
    <w:rsid w:val="003142D8"/>
    <w:rsid w:val="00320C4E"/>
    <w:rsid w:val="00327170"/>
    <w:rsid w:val="00327990"/>
    <w:rsid w:val="00332110"/>
    <w:rsid w:val="0033221D"/>
    <w:rsid w:val="003345F6"/>
    <w:rsid w:val="00344C22"/>
    <w:rsid w:val="00345B34"/>
    <w:rsid w:val="00345F76"/>
    <w:rsid w:val="003464AB"/>
    <w:rsid w:val="00346DE3"/>
    <w:rsid w:val="00347763"/>
    <w:rsid w:val="00350BD2"/>
    <w:rsid w:val="00351577"/>
    <w:rsid w:val="003527CB"/>
    <w:rsid w:val="003572A8"/>
    <w:rsid w:val="00360F1A"/>
    <w:rsid w:val="00364A45"/>
    <w:rsid w:val="0036695B"/>
    <w:rsid w:val="003831E0"/>
    <w:rsid w:val="003908BB"/>
    <w:rsid w:val="0039194D"/>
    <w:rsid w:val="00395612"/>
    <w:rsid w:val="003B08D0"/>
    <w:rsid w:val="003B4F25"/>
    <w:rsid w:val="003C0A66"/>
    <w:rsid w:val="003C0EB3"/>
    <w:rsid w:val="003C6668"/>
    <w:rsid w:val="003D1E21"/>
    <w:rsid w:val="003D2E21"/>
    <w:rsid w:val="003D5062"/>
    <w:rsid w:val="003E0044"/>
    <w:rsid w:val="003E0067"/>
    <w:rsid w:val="003E4072"/>
    <w:rsid w:val="003E6624"/>
    <w:rsid w:val="003E6625"/>
    <w:rsid w:val="003F088B"/>
    <w:rsid w:val="003F4BB5"/>
    <w:rsid w:val="00401876"/>
    <w:rsid w:val="00401BCC"/>
    <w:rsid w:val="00406560"/>
    <w:rsid w:val="004076DC"/>
    <w:rsid w:val="00410420"/>
    <w:rsid w:val="00412537"/>
    <w:rsid w:val="00413375"/>
    <w:rsid w:val="00414238"/>
    <w:rsid w:val="00423F93"/>
    <w:rsid w:val="004240F1"/>
    <w:rsid w:val="004247FE"/>
    <w:rsid w:val="004316B0"/>
    <w:rsid w:val="00431E0C"/>
    <w:rsid w:val="0043255B"/>
    <w:rsid w:val="00434D35"/>
    <w:rsid w:val="00436EB0"/>
    <w:rsid w:val="0043743B"/>
    <w:rsid w:val="00443930"/>
    <w:rsid w:val="00444D0F"/>
    <w:rsid w:val="00445905"/>
    <w:rsid w:val="00445E96"/>
    <w:rsid w:val="0045289A"/>
    <w:rsid w:val="004571DF"/>
    <w:rsid w:val="004603DB"/>
    <w:rsid w:val="004613F3"/>
    <w:rsid w:val="00461B5D"/>
    <w:rsid w:val="004620FA"/>
    <w:rsid w:val="00465223"/>
    <w:rsid w:val="00475838"/>
    <w:rsid w:val="0047746C"/>
    <w:rsid w:val="00482B79"/>
    <w:rsid w:val="00486FF8"/>
    <w:rsid w:val="004917BB"/>
    <w:rsid w:val="00492C5A"/>
    <w:rsid w:val="004A176A"/>
    <w:rsid w:val="004A390E"/>
    <w:rsid w:val="004A78B5"/>
    <w:rsid w:val="004B12CE"/>
    <w:rsid w:val="004B267B"/>
    <w:rsid w:val="004B6635"/>
    <w:rsid w:val="004B6C77"/>
    <w:rsid w:val="004D034F"/>
    <w:rsid w:val="004D289C"/>
    <w:rsid w:val="004D3C49"/>
    <w:rsid w:val="004D4128"/>
    <w:rsid w:val="004D5C9F"/>
    <w:rsid w:val="004D6F83"/>
    <w:rsid w:val="004E1503"/>
    <w:rsid w:val="004E24F4"/>
    <w:rsid w:val="004E4293"/>
    <w:rsid w:val="004E4C60"/>
    <w:rsid w:val="004E5EB6"/>
    <w:rsid w:val="004F033E"/>
    <w:rsid w:val="004F109E"/>
    <w:rsid w:val="004F1750"/>
    <w:rsid w:val="004F1FC5"/>
    <w:rsid w:val="004F231B"/>
    <w:rsid w:val="004F3F15"/>
    <w:rsid w:val="004F5A76"/>
    <w:rsid w:val="004F5F45"/>
    <w:rsid w:val="004F7168"/>
    <w:rsid w:val="005046AF"/>
    <w:rsid w:val="005104AF"/>
    <w:rsid w:val="005105BA"/>
    <w:rsid w:val="005118BF"/>
    <w:rsid w:val="00516176"/>
    <w:rsid w:val="00521860"/>
    <w:rsid w:val="00522756"/>
    <w:rsid w:val="00523C06"/>
    <w:rsid w:val="00525897"/>
    <w:rsid w:val="00527359"/>
    <w:rsid w:val="005309DE"/>
    <w:rsid w:val="005312B8"/>
    <w:rsid w:val="00531F2B"/>
    <w:rsid w:val="00540D6E"/>
    <w:rsid w:val="0054298C"/>
    <w:rsid w:val="005430CE"/>
    <w:rsid w:val="00546D8D"/>
    <w:rsid w:val="00547678"/>
    <w:rsid w:val="00547E4F"/>
    <w:rsid w:val="005526CF"/>
    <w:rsid w:val="0055423D"/>
    <w:rsid w:val="00555104"/>
    <w:rsid w:val="0056185E"/>
    <w:rsid w:val="00562F68"/>
    <w:rsid w:val="00567725"/>
    <w:rsid w:val="00567D7D"/>
    <w:rsid w:val="00572861"/>
    <w:rsid w:val="00574393"/>
    <w:rsid w:val="00580DDC"/>
    <w:rsid w:val="00582D7C"/>
    <w:rsid w:val="00585575"/>
    <w:rsid w:val="005917FC"/>
    <w:rsid w:val="00594EDC"/>
    <w:rsid w:val="005A36FE"/>
    <w:rsid w:val="005A4317"/>
    <w:rsid w:val="005A59E7"/>
    <w:rsid w:val="005B2F0A"/>
    <w:rsid w:val="005B2F87"/>
    <w:rsid w:val="005B4969"/>
    <w:rsid w:val="005B4C1E"/>
    <w:rsid w:val="005C18A2"/>
    <w:rsid w:val="005C1F6F"/>
    <w:rsid w:val="005C27A1"/>
    <w:rsid w:val="005C48B9"/>
    <w:rsid w:val="005C5BA2"/>
    <w:rsid w:val="005D43F3"/>
    <w:rsid w:val="005D74DC"/>
    <w:rsid w:val="005E1619"/>
    <w:rsid w:val="005E25D9"/>
    <w:rsid w:val="005E2DCA"/>
    <w:rsid w:val="005E4FE8"/>
    <w:rsid w:val="005F0E1E"/>
    <w:rsid w:val="005F33D4"/>
    <w:rsid w:val="005F5822"/>
    <w:rsid w:val="005F698D"/>
    <w:rsid w:val="005F6A5F"/>
    <w:rsid w:val="005F6CDE"/>
    <w:rsid w:val="005F71AC"/>
    <w:rsid w:val="00601F0B"/>
    <w:rsid w:val="006220EE"/>
    <w:rsid w:val="00625091"/>
    <w:rsid w:val="00635C11"/>
    <w:rsid w:val="00645777"/>
    <w:rsid w:val="00652E46"/>
    <w:rsid w:val="006536BA"/>
    <w:rsid w:val="0065623A"/>
    <w:rsid w:val="006578FE"/>
    <w:rsid w:val="0066069F"/>
    <w:rsid w:val="006631F5"/>
    <w:rsid w:val="00664437"/>
    <w:rsid w:val="00664A66"/>
    <w:rsid w:val="006651D3"/>
    <w:rsid w:val="00673087"/>
    <w:rsid w:val="006731BA"/>
    <w:rsid w:val="00674924"/>
    <w:rsid w:val="006903CA"/>
    <w:rsid w:val="006905CE"/>
    <w:rsid w:val="006921BB"/>
    <w:rsid w:val="006934AB"/>
    <w:rsid w:val="00693BD3"/>
    <w:rsid w:val="006A652B"/>
    <w:rsid w:val="006B1735"/>
    <w:rsid w:val="006B6904"/>
    <w:rsid w:val="006C0B71"/>
    <w:rsid w:val="006C113D"/>
    <w:rsid w:val="006C18A7"/>
    <w:rsid w:val="006C34AC"/>
    <w:rsid w:val="006D18AA"/>
    <w:rsid w:val="006D2845"/>
    <w:rsid w:val="006D438A"/>
    <w:rsid w:val="006D70C2"/>
    <w:rsid w:val="006E2CC2"/>
    <w:rsid w:val="006E49B7"/>
    <w:rsid w:val="006E52D0"/>
    <w:rsid w:val="006E647A"/>
    <w:rsid w:val="006E7A4E"/>
    <w:rsid w:val="006F0A52"/>
    <w:rsid w:val="006F135B"/>
    <w:rsid w:val="006F18A7"/>
    <w:rsid w:val="006F420D"/>
    <w:rsid w:val="006F5018"/>
    <w:rsid w:val="006F75BF"/>
    <w:rsid w:val="006F7642"/>
    <w:rsid w:val="007005C1"/>
    <w:rsid w:val="007006F6"/>
    <w:rsid w:val="007009C5"/>
    <w:rsid w:val="00701BBC"/>
    <w:rsid w:val="007047B1"/>
    <w:rsid w:val="007049DE"/>
    <w:rsid w:val="00706681"/>
    <w:rsid w:val="00706A8D"/>
    <w:rsid w:val="007155A9"/>
    <w:rsid w:val="00715CCC"/>
    <w:rsid w:val="007177CA"/>
    <w:rsid w:val="00717B23"/>
    <w:rsid w:val="007216AF"/>
    <w:rsid w:val="00722BC8"/>
    <w:rsid w:val="0072332D"/>
    <w:rsid w:val="007275FA"/>
    <w:rsid w:val="00732DC8"/>
    <w:rsid w:val="0073409C"/>
    <w:rsid w:val="0073428A"/>
    <w:rsid w:val="0073703E"/>
    <w:rsid w:val="00740501"/>
    <w:rsid w:val="00747367"/>
    <w:rsid w:val="0075117E"/>
    <w:rsid w:val="00751667"/>
    <w:rsid w:val="007527ED"/>
    <w:rsid w:val="0075632F"/>
    <w:rsid w:val="007572D6"/>
    <w:rsid w:val="00761323"/>
    <w:rsid w:val="007614B6"/>
    <w:rsid w:val="00764D98"/>
    <w:rsid w:val="00765552"/>
    <w:rsid w:val="007675D1"/>
    <w:rsid w:val="00771429"/>
    <w:rsid w:val="00775236"/>
    <w:rsid w:val="0077527D"/>
    <w:rsid w:val="00776493"/>
    <w:rsid w:val="00777187"/>
    <w:rsid w:val="00783ACC"/>
    <w:rsid w:val="00784E45"/>
    <w:rsid w:val="0078785D"/>
    <w:rsid w:val="007909BA"/>
    <w:rsid w:val="0079101F"/>
    <w:rsid w:val="00793181"/>
    <w:rsid w:val="00795DDE"/>
    <w:rsid w:val="00797C7E"/>
    <w:rsid w:val="007A2C31"/>
    <w:rsid w:val="007A37B3"/>
    <w:rsid w:val="007B02E6"/>
    <w:rsid w:val="007B164B"/>
    <w:rsid w:val="007B1792"/>
    <w:rsid w:val="007B379E"/>
    <w:rsid w:val="007C0B29"/>
    <w:rsid w:val="007C19DA"/>
    <w:rsid w:val="007C3E85"/>
    <w:rsid w:val="007C5848"/>
    <w:rsid w:val="007D078B"/>
    <w:rsid w:val="007D0C70"/>
    <w:rsid w:val="007D5F68"/>
    <w:rsid w:val="007D5FBE"/>
    <w:rsid w:val="007D7B0A"/>
    <w:rsid w:val="007D7CD0"/>
    <w:rsid w:val="007E0DE3"/>
    <w:rsid w:val="007E35E4"/>
    <w:rsid w:val="007F16D5"/>
    <w:rsid w:val="007F34D6"/>
    <w:rsid w:val="007F3CD4"/>
    <w:rsid w:val="007F4E93"/>
    <w:rsid w:val="007F6F94"/>
    <w:rsid w:val="00802AA0"/>
    <w:rsid w:val="00807AC3"/>
    <w:rsid w:val="008112B7"/>
    <w:rsid w:val="00811E62"/>
    <w:rsid w:val="00820D9D"/>
    <w:rsid w:val="008240F9"/>
    <w:rsid w:val="0082514D"/>
    <w:rsid w:val="008253B3"/>
    <w:rsid w:val="008254A0"/>
    <w:rsid w:val="00825DE0"/>
    <w:rsid w:val="00826B62"/>
    <w:rsid w:val="00827009"/>
    <w:rsid w:val="00827BED"/>
    <w:rsid w:val="008340B7"/>
    <w:rsid w:val="00835524"/>
    <w:rsid w:val="00837A82"/>
    <w:rsid w:val="0084459B"/>
    <w:rsid w:val="0084664E"/>
    <w:rsid w:val="008471A0"/>
    <w:rsid w:val="008473FD"/>
    <w:rsid w:val="00855E9C"/>
    <w:rsid w:val="008572FA"/>
    <w:rsid w:val="008576AB"/>
    <w:rsid w:val="008603DF"/>
    <w:rsid w:val="0086321A"/>
    <w:rsid w:val="008646E0"/>
    <w:rsid w:val="00864B74"/>
    <w:rsid w:val="0086765B"/>
    <w:rsid w:val="00870B62"/>
    <w:rsid w:val="008738DE"/>
    <w:rsid w:val="008824CA"/>
    <w:rsid w:val="0088310F"/>
    <w:rsid w:val="0088311F"/>
    <w:rsid w:val="008869B6"/>
    <w:rsid w:val="00890B0E"/>
    <w:rsid w:val="00895B42"/>
    <w:rsid w:val="00896A8C"/>
    <w:rsid w:val="00896F9D"/>
    <w:rsid w:val="008A326D"/>
    <w:rsid w:val="008C02B6"/>
    <w:rsid w:val="008C1284"/>
    <w:rsid w:val="008D30E6"/>
    <w:rsid w:val="008D608A"/>
    <w:rsid w:val="008E1936"/>
    <w:rsid w:val="008E5BDD"/>
    <w:rsid w:val="008E72FB"/>
    <w:rsid w:val="008F2D9E"/>
    <w:rsid w:val="008F2EB9"/>
    <w:rsid w:val="008F346F"/>
    <w:rsid w:val="008F6EC1"/>
    <w:rsid w:val="008F7191"/>
    <w:rsid w:val="009018CC"/>
    <w:rsid w:val="0090219B"/>
    <w:rsid w:val="009059F8"/>
    <w:rsid w:val="00906C71"/>
    <w:rsid w:val="009108C3"/>
    <w:rsid w:val="00911371"/>
    <w:rsid w:val="009144A3"/>
    <w:rsid w:val="009163AA"/>
    <w:rsid w:val="00917BA8"/>
    <w:rsid w:val="00920803"/>
    <w:rsid w:val="0092163A"/>
    <w:rsid w:val="009242D7"/>
    <w:rsid w:val="009255C9"/>
    <w:rsid w:val="009273FB"/>
    <w:rsid w:val="00932511"/>
    <w:rsid w:val="0093315A"/>
    <w:rsid w:val="00937C06"/>
    <w:rsid w:val="0094414F"/>
    <w:rsid w:val="00947651"/>
    <w:rsid w:val="00950285"/>
    <w:rsid w:val="00951A30"/>
    <w:rsid w:val="00955E89"/>
    <w:rsid w:val="0095671A"/>
    <w:rsid w:val="00964577"/>
    <w:rsid w:val="009665BE"/>
    <w:rsid w:val="00973D66"/>
    <w:rsid w:val="0098065A"/>
    <w:rsid w:val="009810B1"/>
    <w:rsid w:val="0098293D"/>
    <w:rsid w:val="00983EE1"/>
    <w:rsid w:val="009847BA"/>
    <w:rsid w:val="009857AC"/>
    <w:rsid w:val="00986369"/>
    <w:rsid w:val="00986D60"/>
    <w:rsid w:val="00990BE4"/>
    <w:rsid w:val="00991ACC"/>
    <w:rsid w:val="00991C86"/>
    <w:rsid w:val="00991E8C"/>
    <w:rsid w:val="00992233"/>
    <w:rsid w:val="00996DC0"/>
    <w:rsid w:val="00997913"/>
    <w:rsid w:val="009A4395"/>
    <w:rsid w:val="009B0A9D"/>
    <w:rsid w:val="009B35E2"/>
    <w:rsid w:val="009C3ED1"/>
    <w:rsid w:val="009C642E"/>
    <w:rsid w:val="009D00E7"/>
    <w:rsid w:val="009D2B4D"/>
    <w:rsid w:val="009D42A4"/>
    <w:rsid w:val="009D5091"/>
    <w:rsid w:val="009D6743"/>
    <w:rsid w:val="009E2DF6"/>
    <w:rsid w:val="009E4B66"/>
    <w:rsid w:val="009E6F2B"/>
    <w:rsid w:val="00A01DA5"/>
    <w:rsid w:val="00A079F2"/>
    <w:rsid w:val="00A11A67"/>
    <w:rsid w:val="00A11FAB"/>
    <w:rsid w:val="00A15FC1"/>
    <w:rsid w:val="00A21C7F"/>
    <w:rsid w:val="00A22936"/>
    <w:rsid w:val="00A2296D"/>
    <w:rsid w:val="00A30D95"/>
    <w:rsid w:val="00A313F4"/>
    <w:rsid w:val="00A31923"/>
    <w:rsid w:val="00A32AD5"/>
    <w:rsid w:val="00A34D00"/>
    <w:rsid w:val="00A3553F"/>
    <w:rsid w:val="00A3607B"/>
    <w:rsid w:val="00A42579"/>
    <w:rsid w:val="00A44DE7"/>
    <w:rsid w:val="00A50738"/>
    <w:rsid w:val="00A528A3"/>
    <w:rsid w:val="00A6118E"/>
    <w:rsid w:val="00A64E5E"/>
    <w:rsid w:val="00A67153"/>
    <w:rsid w:val="00A7494E"/>
    <w:rsid w:val="00A75914"/>
    <w:rsid w:val="00A771B3"/>
    <w:rsid w:val="00A8010A"/>
    <w:rsid w:val="00A807D3"/>
    <w:rsid w:val="00A829C7"/>
    <w:rsid w:val="00A84636"/>
    <w:rsid w:val="00A854CD"/>
    <w:rsid w:val="00A96D0D"/>
    <w:rsid w:val="00AA056B"/>
    <w:rsid w:val="00AA0F0B"/>
    <w:rsid w:val="00AA50D5"/>
    <w:rsid w:val="00AC1E5B"/>
    <w:rsid w:val="00AC27A9"/>
    <w:rsid w:val="00AD6316"/>
    <w:rsid w:val="00AD7AA9"/>
    <w:rsid w:val="00AE047E"/>
    <w:rsid w:val="00AF0718"/>
    <w:rsid w:val="00AF10BB"/>
    <w:rsid w:val="00AF1364"/>
    <w:rsid w:val="00AF5192"/>
    <w:rsid w:val="00AF5631"/>
    <w:rsid w:val="00B06F21"/>
    <w:rsid w:val="00B10C69"/>
    <w:rsid w:val="00B12FEC"/>
    <w:rsid w:val="00B13262"/>
    <w:rsid w:val="00B13E3F"/>
    <w:rsid w:val="00B14823"/>
    <w:rsid w:val="00B1588E"/>
    <w:rsid w:val="00B3350A"/>
    <w:rsid w:val="00B34614"/>
    <w:rsid w:val="00B35094"/>
    <w:rsid w:val="00B41276"/>
    <w:rsid w:val="00B46C06"/>
    <w:rsid w:val="00B477B3"/>
    <w:rsid w:val="00B52048"/>
    <w:rsid w:val="00B551CA"/>
    <w:rsid w:val="00B57599"/>
    <w:rsid w:val="00B603D1"/>
    <w:rsid w:val="00B643D8"/>
    <w:rsid w:val="00B65566"/>
    <w:rsid w:val="00B737AE"/>
    <w:rsid w:val="00B749BB"/>
    <w:rsid w:val="00B80BF4"/>
    <w:rsid w:val="00B82EA5"/>
    <w:rsid w:val="00B903CD"/>
    <w:rsid w:val="00B9734D"/>
    <w:rsid w:val="00BA4587"/>
    <w:rsid w:val="00BA68F2"/>
    <w:rsid w:val="00BB0D63"/>
    <w:rsid w:val="00BB1385"/>
    <w:rsid w:val="00BB1450"/>
    <w:rsid w:val="00BB400F"/>
    <w:rsid w:val="00BB55F3"/>
    <w:rsid w:val="00BC0B12"/>
    <w:rsid w:val="00BC4518"/>
    <w:rsid w:val="00BD0C89"/>
    <w:rsid w:val="00BD4C58"/>
    <w:rsid w:val="00BD7226"/>
    <w:rsid w:val="00BE0010"/>
    <w:rsid w:val="00BF1826"/>
    <w:rsid w:val="00BF1EC1"/>
    <w:rsid w:val="00BF4A21"/>
    <w:rsid w:val="00C07CFD"/>
    <w:rsid w:val="00C13E01"/>
    <w:rsid w:val="00C1436C"/>
    <w:rsid w:val="00C15249"/>
    <w:rsid w:val="00C2080E"/>
    <w:rsid w:val="00C21E7D"/>
    <w:rsid w:val="00C253DC"/>
    <w:rsid w:val="00C322AB"/>
    <w:rsid w:val="00C3240B"/>
    <w:rsid w:val="00C3357C"/>
    <w:rsid w:val="00C347D9"/>
    <w:rsid w:val="00C350A9"/>
    <w:rsid w:val="00C35E60"/>
    <w:rsid w:val="00C41AE5"/>
    <w:rsid w:val="00C46BF3"/>
    <w:rsid w:val="00C509A9"/>
    <w:rsid w:val="00C578CF"/>
    <w:rsid w:val="00C64363"/>
    <w:rsid w:val="00C64DD0"/>
    <w:rsid w:val="00C802A5"/>
    <w:rsid w:val="00C80EC5"/>
    <w:rsid w:val="00C81AC6"/>
    <w:rsid w:val="00C84B36"/>
    <w:rsid w:val="00C902CD"/>
    <w:rsid w:val="00C90CFF"/>
    <w:rsid w:val="00C91FB5"/>
    <w:rsid w:val="00C938FC"/>
    <w:rsid w:val="00CA5188"/>
    <w:rsid w:val="00CB151F"/>
    <w:rsid w:val="00CB18B8"/>
    <w:rsid w:val="00CB1C60"/>
    <w:rsid w:val="00CB4A10"/>
    <w:rsid w:val="00CB52D3"/>
    <w:rsid w:val="00CB60E1"/>
    <w:rsid w:val="00CB6666"/>
    <w:rsid w:val="00CB7168"/>
    <w:rsid w:val="00CB781D"/>
    <w:rsid w:val="00CC1FC4"/>
    <w:rsid w:val="00CC506D"/>
    <w:rsid w:val="00CC5E1E"/>
    <w:rsid w:val="00CD3127"/>
    <w:rsid w:val="00CD3AFA"/>
    <w:rsid w:val="00CD3C0D"/>
    <w:rsid w:val="00CD7383"/>
    <w:rsid w:val="00CE14C1"/>
    <w:rsid w:val="00CE1BC1"/>
    <w:rsid w:val="00CE23DA"/>
    <w:rsid w:val="00CE2FB9"/>
    <w:rsid w:val="00CE45B5"/>
    <w:rsid w:val="00CF02EE"/>
    <w:rsid w:val="00CF1981"/>
    <w:rsid w:val="00CF2D25"/>
    <w:rsid w:val="00CF6B72"/>
    <w:rsid w:val="00CF707E"/>
    <w:rsid w:val="00D04D2F"/>
    <w:rsid w:val="00D0687D"/>
    <w:rsid w:val="00D073DE"/>
    <w:rsid w:val="00D112CB"/>
    <w:rsid w:val="00D20102"/>
    <w:rsid w:val="00D241B7"/>
    <w:rsid w:val="00D25953"/>
    <w:rsid w:val="00D27B27"/>
    <w:rsid w:val="00D30F60"/>
    <w:rsid w:val="00D40145"/>
    <w:rsid w:val="00D42790"/>
    <w:rsid w:val="00D43F8C"/>
    <w:rsid w:val="00D44A85"/>
    <w:rsid w:val="00D451A2"/>
    <w:rsid w:val="00D46178"/>
    <w:rsid w:val="00D52C15"/>
    <w:rsid w:val="00D546AA"/>
    <w:rsid w:val="00D5475D"/>
    <w:rsid w:val="00D60107"/>
    <w:rsid w:val="00D602C6"/>
    <w:rsid w:val="00D61D9D"/>
    <w:rsid w:val="00D63D37"/>
    <w:rsid w:val="00D71A6B"/>
    <w:rsid w:val="00D74832"/>
    <w:rsid w:val="00D7493C"/>
    <w:rsid w:val="00D77FE1"/>
    <w:rsid w:val="00D80B4F"/>
    <w:rsid w:val="00D81680"/>
    <w:rsid w:val="00D82C10"/>
    <w:rsid w:val="00D86D21"/>
    <w:rsid w:val="00D87370"/>
    <w:rsid w:val="00D87A73"/>
    <w:rsid w:val="00D9199B"/>
    <w:rsid w:val="00D923D6"/>
    <w:rsid w:val="00D953E3"/>
    <w:rsid w:val="00D96396"/>
    <w:rsid w:val="00DA43A5"/>
    <w:rsid w:val="00DA7302"/>
    <w:rsid w:val="00DB286D"/>
    <w:rsid w:val="00DB28E2"/>
    <w:rsid w:val="00DB4781"/>
    <w:rsid w:val="00DC2FA9"/>
    <w:rsid w:val="00DD03F7"/>
    <w:rsid w:val="00DD0E57"/>
    <w:rsid w:val="00DE0A5D"/>
    <w:rsid w:val="00DE3757"/>
    <w:rsid w:val="00DE48F3"/>
    <w:rsid w:val="00DE5EB7"/>
    <w:rsid w:val="00DF0363"/>
    <w:rsid w:val="00DF148B"/>
    <w:rsid w:val="00DF3B8B"/>
    <w:rsid w:val="00DF4776"/>
    <w:rsid w:val="00E040A8"/>
    <w:rsid w:val="00E05A20"/>
    <w:rsid w:val="00E100FE"/>
    <w:rsid w:val="00E1019A"/>
    <w:rsid w:val="00E11B1E"/>
    <w:rsid w:val="00E14419"/>
    <w:rsid w:val="00E153FA"/>
    <w:rsid w:val="00E16026"/>
    <w:rsid w:val="00E17B6A"/>
    <w:rsid w:val="00E21EAA"/>
    <w:rsid w:val="00E222A2"/>
    <w:rsid w:val="00E22424"/>
    <w:rsid w:val="00E2298D"/>
    <w:rsid w:val="00E26259"/>
    <w:rsid w:val="00E26E5A"/>
    <w:rsid w:val="00E26FBC"/>
    <w:rsid w:val="00E35C33"/>
    <w:rsid w:val="00E36043"/>
    <w:rsid w:val="00E40AFC"/>
    <w:rsid w:val="00E44C56"/>
    <w:rsid w:val="00E46423"/>
    <w:rsid w:val="00E47000"/>
    <w:rsid w:val="00E51BF0"/>
    <w:rsid w:val="00E541CC"/>
    <w:rsid w:val="00E554F5"/>
    <w:rsid w:val="00E63D59"/>
    <w:rsid w:val="00E648CE"/>
    <w:rsid w:val="00E64F4F"/>
    <w:rsid w:val="00E7160D"/>
    <w:rsid w:val="00E7162A"/>
    <w:rsid w:val="00E71F05"/>
    <w:rsid w:val="00E7269B"/>
    <w:rsid w:val="00E7275A"/>
    <w:rsid w:val="00E84BE4"/>
    <w:rsid w:val="00E852B1"/>
    <w:rsid w:val="00E86AF0"/>
    <w:rsid w:val="00E86C85"/>
    <w:rsid w:val="00E92C76"/>
    <w:rsid w:val="00E943BC"/>
    <w:rsid w:val="00E949B0"/>
    <w:rsid w:val="00E972CD"/>
    <w:rsid w:val="00EA0791"/>
    <w:rsid w:val="00EA17D8"/>
    <w:rsid w:val="00EA2158"/>
    <w:rsid w:val="00EA3ADD"/>
    <w:rsid w:val="00EA54B2"/>
    <w:rsid w:val="00EB1C20"/>
    <w:rsid w:val="00EB4EFD"/>
    <w:rsid w:val="00EC2154"/>
    <w:rsid w:val="00EC45B9"/>
    <w:rsid w:val="00EC54F4"/>
    <w:rsid w:val="00EC6086"/>
    <w:rsid w:val="00EC7ADC"/>
    <w:rsid w:val="00EE2F59"/>
    <w:rsid w:val="00EE3238"/>
    <w:rsid w:val="00EF1839"/>
    <w:rsid w:val="00EF5F40"/>
    <w:rsid w:val="00EF5FC7"/>
    <w:rsid w:val="00F05694"/>
    <w:rsid w:val="00F05B10"/>
    <w:rsid w:val="00F15D9A"/>
    <w:rsid w:val="00F16557"/>
    <w:rsid w:val="00F2520E"/>
    <w:rsid w:val="00F30FA1"/>
    <w:rsid w:val="00F325EA"/>
    <w:rsid w:val="00F32EE0"/>
    <w:rsid w:val="00F37889"/>
    <w:rsid w:val="00F40A55"/>
    <w:rsid w:val="00F42DAE"/>
    <w:rsid w:val="00F477E7"/>
    <w:rsid w:val="00F502C0"/>
    <w:rsid w:val="00F52A51"/>
    <w:rsid w:val="00F6160D"/>
    <w:rsid w:val="00F61CDC"/>
    <w:rsid w:val="00F63501"/>
    <w:rsid w:val="00F713C1"/>
    <w:rsid w:val="00F774FB"/>
    <w:rsid w:val="00F77781"/>
    <w:rsid w:val="00F846BB"/>
    <w:rsid w:val="00F84EC6"/>
    <w:rsid w:val="00F85A14"/>
    <w:rsid w:val="00F9016E"/>
    <w:rsid w:val="00F912BE"/>
    <w:rsid w:val="00F91515"/>
    <w:rsid w:val="00F91ED6"/>
    <w:rsid w:val="00F93BDE"/>
    <w:rsid w:val="00FA01FB"/>
    <w:rsid w:val="00FA5E80"/>
    <w:rsid w:val="00FB2F51"/>
    <w:rsid w:val="00FB4C64"/>
    <w:rsid w:val="00FB7A3B"/>
    <w:rsid w:val="00FC2107"/>
    <w:rsid w:val="00FC57FF"/>
    <w:rsid w:val="00FC7843"/>
    <w:rsid w:val="00FC7F7F"/>
    <w:rsid w:val="00FD2B3F"/>
    <w:rsid w:val="00FD46A5"/>
    <w:rsid w:val="00FD79C0"/>
    <w:rsid w:val="00FE0A2C"/>
    <w:rsid w:val="00FE6627"/>
    <w:rsid w:val="00FF039F"/>
    <w:rsid w:val="00FF20DA"/>
    <w:rsid w:val="00FF2274"/>
    <w:rsid w:val="00FF2EAE"/>
    <w:rsid w:val="00FF3405"/>
    <w:rsid w:val="00FF3975"/>
    <w:rsid w:val="00FF7396"/>
    <w:rsid w:val="00FF7EC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5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2BC8"/>
    <w:pPr>
      <w:spacing w:before="0" w:after="0"/>
      <w:contextualSpacing/>
    </w:pPr>
    <w:rPr>
      <w:bCs/>
      <w:iCs/>
      <w:noProof/>
      <w:snapToGrid w:val="0"/>
      <w:sz w:val="24"/>
    </w:rPr>
  </w:style>
  <w:style w:type="paragraph" w:styleId="Heading1">
    <w:name w:val="heading 1"/>
    <w:basedOn w:val="Normal"/>
    <w:next w:val="Normal"/>
    <w:link w:val="Heading1Char"/>
    <w:uiPriority w:val="9"/>
    <w:qFormat/>
    <w:rsid w:val="00350BD2"/>
    <w:pPr>
      <w:jc w:val="center"/>
      <w:outlineLvl w:val="0"/>
    </w:pPr>
    <w:rPr>
      <w:rFonts w:ascii="Calibri" w:eastAsia="HGｺﾞｼｯｸM" w:hAnsi="Calibri" w:cs="Times New Roman"/>
      <w:color w:val="A5300F"/>
      <w:spacing w:val="10"/>
      <w:sz w:val="52"/>
      <w:szCs w:val="52"/>
    </w:rPr>
  </w:style>
  <w:style w:type="paragraph" w:styleId="Heading2">
    <w:name w:val="heading 2"/>
    <w:basedOn w:val="Normal"/>
    <w:next w:val="Normal"/>
    <w:link w:val="Heading2Char"/>
    <w:uiPriority w:val="9"/>
    <w:unhideWhenUsed/>
    <w:qFormat/>
    <w:rsid w:val="00722BC8"/>
    <w:pPr>
      <w:pBdr>
        <w:bottom w:val="double" w:sz="4" w:space="0" w:color="060637"/>
      </w:pBdr>
      <w:shd w:val="clear" w:color="auto" w:fill="FFFFFF" w:themeFill="background1"/>
      <w:spacing w:before="120" w:after="240"/>
      <w:outlineLvl w:val="1"/>
    </w:pPr>
    <w:rPr>
      <w:rFonts w:ascii="Arial" w:hAnsi="Arial"/>
      <w:b/>
      <w:color w:val="060637"/>
      <w:spacing w:val="15"/>
      <w:sz w:val="32"/>
    </w:rPr>
  </w:style>
  <w:style w:type="paragraph" w:styleId="Heading3">
    <w:name w:val="heading 3"/>
    <w:basedOn w:val="Normal"/>
    <w:next w:val="Normal"/>
    <w:link w:val="Heading3Char"/>
    <w:uiPriority w:val="9"/>
    <w:unhideWhenUsed/>
    <w:qFormat/>
    <w:rsid w:val="00722BC8"/>
    <w:pPr>
      <w:keepNext/>
      <w:keepLines/>
      <w:pBdr>
        <w:bottom w:val="single" w:sz="6" w:space="1" w:color="060637"/>
      </w:pBdr>
      <w:spacing w:before="240" w:after="120" w:line="240" w:lineRule="auto"/>
      <w:outlineLvl w:val="2"/>
    </w:pPr>
    <w:rPr>
      <w:rFonts w:ascii="Arial" w:hAnsi="Arial"/>
      <w:i/>
      <w:color w:val="060637"/>
      <w:spacing w:val="15"/>
      <w:sz w:val="28"/>
    </w:rPr>
  </w:style>
  <w:style w:type="paragraph" w:styleId="Heading4">
    <w:name w:val="heading 4"/>
    <w:basedOn w:val="Normal"/>
    <w:next w:val="Normal"/>
    <w:link w:val="Heading4Char"/>
    <w:uiPriority w:val="9"/>
    <w:unhideWhenUsed/>
    <w:qFormat/>
    <w:rsid w:val="00722BC8"/>
    <w:pPr>
      <w:pBdr>
        <w:top w:val="dotted" w:sz="6" w:space="2" w:color="A5300F" w:themeColor="accent1"/>
      </w:pBdr>
      <w:spacing w:before="200"/>
      <w:outlineLvl w:val="3"/>
    </w:pPr>
    <w:rPr>
      <w:rFonts w:ascii="Adobe Garamond Pro" w:hAnsi="Adobe Garamond Pro"/>
      <w:color w:val="7B230B" w:themeColor="accent1" w:themeShade="BF"/>
      <w:spacing w:val="10"/>
    </w:rPr>
  </w:style>
  <w:style w:type="paragraph" w:styleId="Heading5">
    <w:name w:val="heading 5"/>
    <w:basedOn w:val="Normal"/>
    <w:next w:val="Normal"/>
    <w:link w:val="Heading5Char"/>
    <w:uiPriority w:val="9"/>
    <w:unhideWhenUsed/>
    <w:qFormat/>
    <w:rsid w:val="00722BC8"/>
    <w:pPr>
      <w:pBdr>
        <w:bottom w:val="single" w:sz="6" w:space="1" w:color="A5300F" w:themeColor="accent1"/>
      </w:pBdr>
      <w:spacing w:before="200"/>
      <w:outlineLvl w:val="4"/>
    </w:pPr>
    <w:rPr>
      <w:bCs w:val="0"/>
      <w:iCs w:val="0"/>
      <w:caps/>
      <w:noProof w:val="0"/>
      <w:snapToGrid/>
      <w:color w:val="7B230B" w:themeColor="accent1" w:themeShade="BF"/>
      <w:spacing w:val="10"/>
      <w:sz w:val="20"/>
    </w:rPr>
  </w:style>
  <w:style w:type="paragraph" w:styleId="Heading6">
    <w:name w:val="heading 6"/>
    <w:basedOn w:val="Normal"/>
    <w:next w:val="Normal"/>
    <w:link w:val="Heading6Char"/>
    <w:uiPriority w:val="9"/>
    <w:semiHidden/>
    <w:unhideWhenUsed/>
    <w:qFormat/>
    <w:rsid w:val="00722BC8"/>
    <w:pPr>
      <w:pBdr>
        <w:bottom w:val="dotted" w:sz="6" w:space="1" w:color="A5300F" w:themeColor="accent1"/>
      </w:pBdr>
      <w:spacing w:before="200"/>
      <w:outlineLvl w:val="5"/>
    </w:pPr>
    <w:rPr>
      <w:bCs w:val="0"/>
      <w:iCs w:val="0"/>
      <w:caps/>
      <w:noProof w:val="0"/>
      <w:snapToGrid/>
      <w:color w:val="7B230B" w:themeColor="accent1" w:themeShade="BF"/>
      <w:spacing w:val="10"/>
      <w:sz w:val="20"/>
    </w:rPr>
  </w:style>
  <w:style w:type="paragraph" w:styleId="Heading7">
    <w:name w:val="heading 7"/>
    <w:basedOn w:val="Normal"/>
    <w:next w:val="Normal"/>
    <w:link w:val="Heading7Char"/>
    <w:uiPriority w:val="9"/>
    <w:semiHidden/>
    <w:unhideWhenUsed/>
    <w:qFormat/>
    <w:rsid w:val="00722BC8"/>
    <w:pPr>
      <w:spacing w:before="200"/>
      <w:outlineLvl w:val="6"/>
    </w:pPr>
    <w:rPr>
      <w:bCs w:val="0"/>
      <w:iCs w:val="0"/>
      <w:caps/>
      <w:noProof w:val="0"/>
      <w:snapToGrid/>
      <w:color w:val="7B230B" w:themeColor="accent1" w:themeShade="BF"/>
      <w:spacing w:val="10"/>
      <w:sz w:val="20"/>
    </w:rPr>
  </w:style>
  <w:style w:type="paragraph" w:styleId="Heading8">
    <w:name w:val="heading 8"/>
    <w:basedOn w:val="Normal"/>
    <w:next w:val="Normal"/>
    <w:link w:val="Heading8Char"/>
    <w:uiPriority w:val="9"/>
    <w:semiHidden/>
    <w:unhideWhenUsed/>
    <w:qFormat/>
    <w:rsid w:val="00722BC8"/>
    <w:pPr>
      <w:spacing w:before="200"/>
      <w:outlineLvl w:val="7"/>
    </w:pPr>
    <w:rPr>
      <w:bCs w:val="0"/>
      <w:iCs w:val="0"/>
      <w:caps/>
      <w:noProof w:val="0"/>
      <w:snapToGrid/>
      <w:spacing w:val="10"/>
      <w:sz w:val="18"/>
      <w:szCs w:val="18"/>
    </w:rPr>
  </w:style>
  <w:style w:type="paragraph" w:styleId="Heading9">
    <w:name w:val="heading 9"/>
    <w:basedOn w:val="Normal"/>
    <w:next w:val="Normal"/>
    <w:link w:val="Heading9Char"/>
    <w:uiPriority w:val="9"/>
    <w:semiHidden/>
    <w:unhideWhenUsed/>
    <w:qFormat/>
    <w:rsid w:val="00722BC8"/>
    <w:pPr>
      <w:spacing w:before="200"/>
      <w:outlineLvl w:val="8"/>
    </w:pPr>
    <w:rPr>
      <w:bCs w:val="0"/>
      <w:i/>
      <w:caps/>
      <w:noProof w:val="0"/>
      <w:snapToGrid/>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0B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4125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Spacing"/>
    <w:link w:val="ListParagraphChar"/>
    <w:uiPriority w:val="34"/>
    <w:qFormat/>
    <w:rsid w:val="00722BC8"/>
    <w:pPr>
      <w:numPr>
        <w:numId w:val="1"/>
      </w:numPr>
      <w:spacing w:before="0" w:after="0"/>
    </w:pPr>
    <w:rPr>
      <w:lang w:val="en"/>
    </w:rPr>
  </w:style>
  <w:style w:type="paragraph" w:styleId="NoSpacing">
    <w:name w:val="No Spacing"/>
    <w:link w:val="NoSpacingChar"/>
    <w:uiPriority w:val="1"/>
    <w:qFormat/>
    <w:rsid w:val="00722BC8"/>
    <w:pPr>
      <w:spacing w:before="240" w:after="240" w:line="240" w:lineRule="auto"/>
    </w:pPr>
    <w:rPr>
      <w:sz w:val="24"/>
    </w:rPr>
  </w:style>
  <w:style w:type="paragraph" w:styleId="BalloonText">
    <w:name w:val="Balloon Text"/>
    <w:basedOn w:val="Normal"/>
    <w:link w:val="BalloonTextChar"/>
    <w:uiPriority w:val="99"/>
    <w:semiHidden/>
    <w:unhideWhenUsed/>
    <w:rsid w:val="006578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8FE"/>
    <w:rPr>
      <w:rFonts w:ascii="Segoe UI" w:hAnsi="Segoe UI" w:cs="Segoe UI"/>
      <w:sz w:val="18"/>
      <w:szCs w:val="18"/>
    </w:rPr>
  </w:style>
  <w:style w:type="character" w:customStyle="1" w:styleId="Heading2Char">
    <w:name w:val="Heading 2 Char"/>
    <w:basedOn w:val="DefaultParagraphFont"/>
    <w:link w:val="Heading2"/>
    <w:uiPriority w:val="9"/>
    <w:rsid w:val="00722BC8"/>
    <w:rPr>
      <w:rFonts w:ascii="Arial" w:hAnsi="Arial"/>
      <w:b/>
      <w:bCs/>
      <w:iCs/>
      <w:noProof/>
      <w:snapToGrid w:val="0"/>
      <w:color w:val="060637"/>
      <w:spacing w:val="15"/>
      <w:sz w:val="32"/>
      <w:shd w:val="clear" w:color="auto" w:fill="FFFFFF" w:themeFill="background1"/>
    </w:rPr>
  </w:style>
  <w:style w:type="character" w:customStyle="1" w:styleId="Heading3Char">
    <w:name w:val="Heading 3 Char"/>
    <w:basedOn w:val="DefaultParagraphFont"/>
    <w:link w:val="Heading3"/>
    <w:uiPriority w:val="9"/>
    <w:rsid w:val="00722BC8"/>
    <w:rPr>
      <w:rFonts w:ascii="Arial" w:hAnsi="Arial"/>
      <w:bCs/>
      <w:i/>
      <w:iCs/>
      <w:noProof/>
      <w:snapToGrid w:val="0"/>
      <w:color w:val="060637"/>
      <w:spacing w:val="15"/>
      <w:sz w:val="28"/>
    </w:rPr>
  </w:style>
  <w:style w:type="character" w:customStyle="1" w:styleId="Heading1Char">
    <w:name w:val="Heading 1 Char"/>
    <w:basedOn w:val="DefaultParagraphFont"/>
    <w:link w:val="Heading1"/>
    <w:uiPriority w:val="9"/>
    <w:rsid w:val="00350BD2"/>
    <w:rPr>
      <w:rFonts w:ascii="Calibri" w:eastAsia="HGｺﾞｼｯｸM" w:hAnsi="Calibri" w:cs="Times New Roman"/>
      <w:bCs/>
      <w:iCs/>
      <w:noProof/>
      <w:snapToGrid w:val="0"/>
      <w:color w:val="A5300F"/>
      <w:spacing w:val="10"/>
      <w:sz w:val="52"/>
      <w:szCs w:val="52"/>
    </w:rPr>
  </w:style>
  <w:style w:type="paragraph" w:customStyle="1" w:styleId="Default">
    <w:name w:val="Default"/>
    <w:rsid w:val="00BD722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D7226"/>
    <w:rPr>
      <w:color w:val="0000CC" w:themeColor="hyperlink"/>
      <w:u w:val="single"/>
    </w:rPr>
  </w:style>
  <w:style w:type="character" w:styleId="CommentReference">
    <w:name w:val="annotation reference"/>
    <w:basedOn w:val="DefaultParagraphFont"/>
    <w:uiPriority w:val="99"/>
    <w:semiHidden/>
    <w:unhideWhenUsed/>
    <w:rsid w:val="00BD7226"/>
    <w:rPr>
      <w:sz w:val="16"/>
      <w:szCs w:val="16"/>
    </w:rPr>
  </w:style>
  <w:style w:type="paragraph" w:styleId="CommentText">
    <w:name w:val="annotation text"/>
    <w:basedOn w:val="Normal"/>
    <w:link w:val="CommentTextChar"/>
    <w:uiPriority w:val="99"/>
    <w:semiHidden/>
    <w:unhideWhenUsed/>
    <w:rsid w:val="00BD7226"/>
    <w:pPr>
      <w:spacing w:line="240" w:lineRule="auto"/>
    </w:pPr>
    <w:rPr>
      <w:sz w:val="20"/>
    </w:rPr>
  </w:style>
  <w:style w:type="character" w:customStyle="1" w:styleId="CommentTextChar">
    <w:name w:val="Comment Text Char"/>
    <w:basedOn w:val="DefaultParagraphFont"/>
    <w:link w:val="CommentText"/>
    <w:uiPriority w:val="99"/>
    <w:semiHidden/>
    <w:rsid w:val="00BD7226"/>
    <w:rPr>
      <w:sz w:val="20"/>
      <w:szCs w:val="20"/>
    </w:rPr>
  </w:style>
  <w:style w:type="character" w:customStyle="1" w:styleId="ListParagraphChar">
    <w:name w:val="List Paragraph Char"/>
    <w:basedOn w:val="DefaultParagraphFont"/>
    <w:link w:val="ListParagraph"/>
    <w:uiPriority w:val="34"/>
    <w:rsid w:val="00722BC8"/>
    <w:rPr>
      <w:sz w:val="24"/>
      <w:lang w:val="en"/>
    </w:rPr>
  </w:style>
  <w:style w:type="character" w:styleId="FollowedHyperlink">
    <w:name w:val="FollowedHyperlink"/>
    <w:basedOn w:val="DefaultParagraphFont"/>
    <w:uiPriority w:val="99"/>
    <w:semiHidden/>
    <w:unhideWhenUsed/>
    <w:rsid w:val="00522756"/>
    <w:rPr>
      <w:color w:val="9F4210" w:themeColor="followedHyperlink"/>
      <w:u w:val="single"/>
    </w:rPr>
  </w:style>
  <w:style w:type="table" w:styleId="TableGrid8">
    <w:name w:val="Table Grid 8"/>
    <w:basedOn w:val="TableNormal"/>
    <w:rsid w:val="00076938"/>
    <w:pPr>
      <w:spacing w:after="0" w:line="480" w:lineRule="auto"/>
      <w:ind w:firstLine="360"/>
    </w:pPr>
    <w:rPr>
      <w:rFonts w:ascii="Times New Roman" w:eastAsia="Times New Roman" w:hAnsi="Times New Roman"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FootnoteText">
    <w:name w:val="footnote text"/>
    <w:aliases w:val="F1"/>
    <w:basedOn w:val="Normal"/>
    <w:link w:val="FootnoteTextChar"/>
    <w:rsid w:val="006B1735"/>
    <w:pPr>
      <w:spacing w:line="240" w:lineRule="auto"/>
    </w:pPr>
    <w:rPr>
      <w:rFonts w:ascii="Times New Roman" w:eastAsia="Times New Roman" w:hAnsi="Times New Roman" w:cs="Times New Roman"/>
      <w:sz w:val="18"/>
    </w:rPr>
  </w:style>
  <w:style w:type="character" w:customStyle="1" w:styleId="FootnoteTextChar">
    <w:name w:val="Footnote Text Char"/>
    <w:aliases w:val="F1 Char"/>
    <w:basedOn w:val="DefaultParagraphFont"/>
    <w:link w:val="FootnoteText"/>
    <w:rsid w:val="006B1735"/>
    <w:rPr>
      <w:rFonts w:ascii="Times New Roman" w:eastAsia="Times New Roman" w:hAnsi="Times New Roman" w:cs="Times New Roman"/>
      <w:sz w:val="18"/>
      <w:szCs w:val="20"/>
    </w:rPr>
  </w:style>
  <w:style w:type="character" w:styleId="FootnoteReference">
    <w:name w:val="footnote reference"/>
    <w:uiPriority w:val="99"/>
    <w:unhideWhenUsed/>
    <w:rsid w:val="006B1735"/>
    <w:rPr>
      <w:vertAlign w:val="superscript"/>
    </w:rPr>
  </w:style>
  <w:style w:type="paragraph" w:customStyle="1" w:styleId="StyleFirstline05">
    <w:name w:val="Style First line:  0.5&quot;"/>
    <w:basedOn w:val="Normal"/>
    <w:rsid w:val="006B1735"/>
    <w:pPr>
      <w:spacing w:line="480" w:lineRule="auto"/>
      <w:ind w:firstLine="360"/>
    </w:pPr>
    <w:rPr>
      <w:rFonts w:ascii="Times New Roman" w:eastAsia="Times New Roman" w:hAnsi="Times New Roman" w:cs="Times New Roman"/>
    </w:rPr>
  </w:style>
  <w:style w:type="table" w:customStyle="1" w:styleId="GridTable5Dark-Accent11">
    <w:name w:val="Grid Table 5 Dark - Accent 11"/>
    <w:basedOn w:val="TableNormal"/>
    <w:uiPriority w:val="50"/>
    <w:rsid w:val="0032717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9CEC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30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30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30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300F" w:themeFill="accent1"/>
      </w:tcPr>
    </w:tblStylePr>
    <w:tblStylePr w:type="band1Vert">
      <w:tblPr/>
      <w:tcPr>
        <w:shd w:val="clear" w:color="auto" w:fill="F49E86" w:themeFill="accent1" w:themeFillTint="66"/>
      </w:tcPr>
    </w:tblStylePr>
    <w:tblStylePr w:type="band1Horz">
      <w:tblPr/>
      <w:tcPr>
        <w:shd w:val="clear" w:color="auto" w:fill="F49E86" w:themeFill="accent1" w:themeFillTint="66"/>
      </w:tcPr>
    </w:tblStylePr>
  </w:style>
  <w:style w:type="paragraph" w:styleId="Header">
    <w:name w:val="header"/>
    <w:basedOn w:val="Normal"/>
    <w:link w:val="HeaderChar"/>
    <w:uiPriority w:val="99"/>
    <w:unhideWhenUsed/>
    <w:rsid w:val="005C5BA2"/>
    <w:pPr>
      <w:tabs>
        <w:tab w:val="center" w:pos="4680"/>
        <w:tab w:val="right" w:pos="9360"/>
      </w:tabs>
      <w:spacing w:line="240" w:lineRule="auto"/>
    </w:pPr>
  </w:style>
  <w:style w:type="character" w:customStyle="1" w:styleId="HeaderChar">
    <w:name w:val="Header Char"/>
    <w:basedOn w:val="DefaultParagraphFont"/>
    <w:link w:val="Header"/>
    <w:uiPriority w:val="99"/>
    <w:rsid w:val="005C5BA2"/>
  </w:style>
  <w:style w:type="paragraph" w:styleId="Footer">
    <w:name w:val="footer"/>
    <w:basedOn w:val="Normal"/>
    <w:link w:val="FooterChar"/>
    <w:uiPriority w:val="99"/>
    <w:unhideWhenUsed/>
    <w:rsid w:val="005C5BA2"/>
    <w:pPr>
      <w:tabs>
        <w:tab w:val="center" w:pos="4680"/>
        <w:tab w:val="right" w:pos="9360"/>
      </w:tabs>
      <w:spacing w:line="240" w:lineRule="auto"/>
    </w:pPr>
  </w:style>
  <w:style w:type="character" w:customStyle="1" w:styleId="FooterChar">
    <w:name w:val="Footer Char"/>
    <w:basedOn w:val="DefaultParagraphFont"/>
    <w:link w:val="Footer"/>
    <w:uiPriority w:val="99"/>
    <w:rsid w:val="005C5BA2"/>
  </w:style>
  <w:style w:type="character" w:customStyle="1" w:styleId="Heading4Char">
    <w:name w:val="Heading 4 Char"/>
    <w:basedOn w:val="DefaultParagraphFont"/>
    <w:link w:val="Heading4"/>
    <w:uiPriority w:val="9"/>
    <w:rsid w:val="00722BC8"/>
    <w:rPr>
      <w:rFonts w:ascii="Adobe Garamond Pro" w:hAnsi="Adobe Garamond Pro"/>
      <w:bCs/>
      <w:iCs/>
      <w:noProof/>
      <w:snapToGrid w:val="0"/>
      <w:color w:val="7B230B" w:themeColor="accent1" w:themeShade="BF"/>
      <w:spacing w:val="10"/>
      <w:sz w:val="24"/>
    </w:rPr>
  </w:style>
  <w:style w:type="character" w:customStyle="1" w:styleId="NoSpacingChar">
    <w:name w:val="No Spacing Char"/>
    <w:basedOn w:val="DefaultParagraphFont"/>
    <w:link w:val="NoSpacing"/>
    <w:uiPriority w:val="1"/>
    <w:rsid w:val="00722BC8"/>
    <w:rPr>
      <w:sz w:val="24"/>
    </w:rPr>
  </w:style>
  <w:style w:type="character" w:styleId="Strong">
    <w:name w:val="Strong"/>
    <w:uiPriority w:val="22"/>
    <w:qFormat/>
    <w:rsid w:val="00722BC8"/>
    <w:rPr>
      <w:b/>
      <w:bCs/>
    </w:rPr>
  </w:style>
  <w:style w:type="paragraph" w:styleId="CommentSubject">
    <w:name w:val="annotation subject"/>
    <w:basedOn w:val="CommentText"/>
    <w:next w:val="CommentText"/>
    <w:link w:val="CommentSubjectChar"/>
    <w:uiPriority w:val="99"/>
    <w:semiHidden/>
    <w:unhideWhenUsed/>
    <w:rsid w:val="00A079F2"/>
    <w:rPr>
      <w:b/>
      <w:bCs w:val="0"/>
    </w:rPr>
  </w:style>
  <w:style w:type="character" w:customStyle="1" w:styleId="CommentSubjectChar">
    <w:name w:val="Comment Subject Char"/>
    <w:basedOn w:val="CommentTextChar"/>
    <w:link w:val="CommentSubject"/>
    <w:uiPriority w:val="99"/>
    <w:semiHidden/>
    <w:rsid w:val="00A079F2"/>
    <w:rPr>
      <w:b/>
      <w:bCs/>
      <w:sz w:val="20"/>
      <w:szCs w:val="20"/>
    </w:rPr>
  </w:style>
  <w:style w:type="paragraph" w:styleId="TOCHeading">
    <w:name w:val="TOC Heading"/>
    <w:basedOn w:val="Heading1"/>
    <w:next w:val="Normal"/>
    <w:uiPriority w:val="39"/>
    <w:unhideWhenUsed/>
    <w:qFormat/>
    <w:rsid w:val="00722BC8"/>
    <w:pPr>
      <w:outlineLvl w:val="9"/>
    </w:pPr>
  </w:style>
  <w:style w:type="paragraph" w:styleId="TOC1">
    <w:name w:val="toc 1"/>
    <w:basedOn w:val="Normal"/>
    <w:next w:val="Normal"/>
    <w:autoRedefine/>
    <w:uiPriority w:val="39"/>
    <w:unhideWhenUsed/>
    <w:rsid w:val="00F63501"/>
    <w:pPr>
      <w:tabs>
        <w:tab w:val="right" w:leader="dot" w:pos="9350"/>
      </w:tabs>
      <w:spacing w:after="100"/>
    </w:pPr>
  </w:style>
  <w:style w:type="paragraph" w:styleId="TOC2">
    <w:name w:val="toc 2"/>
    <w:basedOn w:val="Normal"/>
    <w:next w:val="Normal"/>
    <w:autoRedefine/>
    <w:uiPriority w:val="39"/>
    <w:unhideWhenUsed/>
    <w:rsid w:val="00991ACC"/>
    <w:pPr>
      <w:tabs>
        <w:tab w:val="right" w:leader="dot" w:pos="9350"/>
      </w:tabs>
      <w:spacing w:after="100"/>
      <w:ind w:left="220"/>
    </w:pPr>
  </w:style>
  <w:style w:type="paragraph" w:styleId="TOC3">
    <w:name w:val="toc 3"/>
    <w:basedOn w:val="Normal"/>
    <w:next w:val="Normal"/>
    <w:autoRedefine/>
    <w:uiPriority w:val="39"/>
    <w:unhideWhenUsed/>
    <w:rsid w:val="008D30E6"/>
    <w:pPr>
      <w:spacing w:after="100"/>
      <w:ind w:left="440"/>
    </w:pPr>
  </w:style>
  <w:style w:type="paragraph" w:styleId="Caption">
    <w:name w:val="caption"/>
    <w:basedOn w:val="Normal"/>
    <w:next w:val="Normal"/>
    <w:uiPriority w:val="35"/>
    <w:unhideWhenUsed/>
    <w:qFormat/>
    <w:rsid w:val="00722BC8"/>
    <w:rPr>
      <w:b/>
      <w:bCs w:val="0"/>
      <w:color w:val="7B230B" w:themeColor="accent1" w:themeShade="BF"/>
      <w:sz w:val="16"/>
      <w:szCs w:val="16"/>
    </w:rPr>
  </w:style>
  <w:style w:type="paragraph" w:styleId="Revision">
    <w:name w:val="Revision"/>
    <w:hidden/>
    <w:uiPriority w:val="99"/>
    <w:semiHidden/>
    <w:rsid w:val="00A21C7F"/>
    <w:pPr>
      <w:spacing w:after="0" w:line="240" w:lineRule="auto"/>
    </w:pPr>
  </w:style>
  <w:style w:type="paragraph" w:styleId="TOC4">
    <w:name w:val="toc 4"/>
    <w:basedOn w:val="Normal"/>
    <w:next w:val="Normal"/>
    <w:autoRedefine/>
    <w:uiPriority w:val="39"/>
    <w:unhideWhenUsed/>
    <w:rsid w:val="00E21EAA"/>
    <w:pPr>
      <w:spacing w:after="100"/>
      <w:ind w:left="660"/>
    </w:pPr>
  </w:style>
  <w:style w:type="paragraph" w:styleId="TOC5">
    <w:name w:val="toc 5"/>
    <w:basedOn w:val="Normal"/>
    <w:next w:val="Normal"/>
    <w:autoRedefine/>
    <w:uiPriority w:val="39"/>
    <w:unhideWhenUsed/>
    <w:rsid w:val="00E21EAA"/>
    <w:pPr>
      <w:spacing w:after="100"/>
      <w:ind w:left="880"/>
    </w:pPr>
  </w:style>
  <w:style w:type="paragraph" w:styleId="TOC6">
    <w:name w:val="toc 6"/>
    <w:basedOn w:val="Normal"/>
    <w:next w:val="Normal"/>
    <w:autoRedefine/>
    <w:uiPriority w:val="39"/>
    <w:unhideWhenUsed/>
    <w:rsid w:val="00E21EAA"/>
    <w:pPr>
      <w:spacing w:after="100"/>
      <w:ind w:left="1100"/>
    </w:pPr>
  </w:style>
  <w:style w:type="paragraph" w:styleId="TOC7">
    <w:name w:val="toc 7"/>
    <w:basedOn w:val="Normal"/>
    <w:next w:val="Normal"/>
    <w:autoRedefine/>
    <w:uiPriority w:val="39"/>
    <w:unhideWhenUsed/>
    <w:rsid w:val="00E21EAA"/>
    <w:pPr>
      <w:spacing w:after="100"/>
      <w:ind w:left="1320"/>
    </w:pPr>
  </w:style>
  <w:style w:type="paragraph" w:styleId="TOC8">
    <w:name w:val="toc 8"/>
    <w:basedOn w:val="Normal"/>
    <w:next w:val="Normal"/>
    <w:autoRedefine/>
    <w:uiPriority w:val="39"/>
    <w:unhideWhenUsed/>
    <w:rsid w:val="00E21EAA"/>
    <w:pPr>
      <w:spacing w:after="100"/>
      <w:ind w:left="1540"/>
    </w:pPr>
  </w:style>
  <w:style w:type="paragraph" w:styleId="TOC9">
    <w:name w:val="toc 9"/>
    <w:basedOn w:val="Normal"/>
    <w:next w:val="Normal"/>
    <w:autoRedefine/>
    <w:uiPriority w:val="39"/>
    <w:unhideWhenUsed/>
    <w:rsid w:val="00E21EAA"/>
    <w:pPr>
      <w:spacing w:after="100"/>
      <w:ind w:left="1760"/>
    </w:pPr>
  </w:style>
  <w:style w:type="character" w:customStyle="1" w:styleId="Hyperlink0">
    <w:name w:val="Hyperlink.0"/>
    <w:basedOn w:val="Hyperlink"/>
    <w:rsid w:val="00652E46"/>
    <w:rPr>
      <w:color w:val="0563C1"/>
      <w:u w:val="single" w:color="0563C1"/>
    </w:rPr>
  </w:style>
  <w:style w:type="numbering" w:customStyle="1" w:styleId="ImportedStyle14">
    <w:name w:val="Imported Style 14"/>
    <w:rsid w:val="00652E46"/>
    <w:pPr>
      <w:numPr>
        <w:numId w:val="5"/>
      </w:numPr>
    </w:pPr>
  </w:style>
  <w:style w:type="paragraph" w:customStyle="1" w:styleId="Body">
    <w:name w:val="Body"/>
    <w:rsid w:val="00645777"/>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1">
    <w:name w:val="Hyperlink.1"/>
    <w:basedOn w:val="Hyperlink0"/>
    <w:rsid w:val="00645777"/>
    <w:rPr>
      <w:color w:val="0563C1"/>
      <w:kern w:val="36"/>
      <w:u w:val="single" w:color="0563C1"/>
    </w:rPr>
  </w:style>
  <w:style w:type="numbering" w:customStyle="1" w:styleId="ImportedStyle3">
    <w:name w:val="Imported Style 3"/>
    <w:rsid w:val="00645777"/>
    <w:pPr>
      <w:numPr>
        <w:numId w:val="6"/>
      </w:numPr>
    </w:pPr>
  </w:style>
  <w:style w:type="character" w:customStyle="1" w:styleId="Heading5Char">
    <w:name w:val="Heading 5 Char"/>
    <w:basedOn w:val="DefaultParagraphFont"/>
    <w:link w:val="Heading5"/>
    <w:uiPriority w:val="9"/>
    <w:rsid w:val="00722BC8"/>
    <w:rPr>
      <w:caps/>
      <w:color w:val="7B230B" w:themeColor="accent1" w:themeShade="BF"/>
      <w:spacing w:val="10"/>
    </w:rPr>
  </w:style>
  <w:style w:type="paragraph" w:styleId="EndnoteText">
    <w:name w:val="endnote text"/>
    <w:basedOn w:val="Normal"/>
    <w:link w:val="EndnoteTextChar"/>
    <w:uiPriority w:val="99"/>
    <w:unhideWhenUsed/>
    <w:rsid w:val="006D18AA"/>
    <w:pPr>
      <w:spacing w:line="240" w:lineRule="auto"/>
    </w:pPr>
    <w:rPr>
      <w:rFonts w:ascii="Calibri" w:eastAsia="Calibri" w:hAnsi="Calibri" w:cs="Times New Roman"/>
      <w:sz w:val="20"/>
    </w:rPr>
  </w:style>
  <w:style w:type="character" w:customStyle="1" w:styleId="EndnoteTextChar">
    <w:name w:val="Endnote Text Char"/>
    <w:basedOn w:val="DefaultParagraphFont"/>
    <w:link w:val="EndnoteText"/>
    <w:uiPriority w:val="99"/>
    <w:rsid w:val="006D18AA"/>
    <w:rPr>
      <w:rFonts w:ascii="Calibri" w:eastAsia="Calibri" w:hAnsi="Calibri" w:cs="Times New Roman"/>
      <w:sz w:val="20"/>
      <w:szCs w:val="20"/>
    </w:rPr>
  </w:style>
  <w:style w:type="character" w:styleId="EndnoteReference">
    <w:name w:val="endnote reference"/>
    <w:uiPriority w:val="99"/>
    <w:semiHidden/>
    <w:unhideWhenUsed/>
    <w:rsid w:val="006D18AA"/>
    <w:rPr>
      <w:vertAlign w:val="superscript"/>
    </w:rPr>
  </w:style>
  <w:style w:type="paragraph" w:styleId="NormalWeb">
    <w:name w:val="Normal (Web)"/>
    <w:basedOn w:val="Normal"/>
    <w:uiPriority w:val="99"/>
    <w:semiHidden/>
    <w:unhideWhenUsed/>
    <w:rsid w:val="003D5062"/>
    <w:pPr>
      <w:spacing w:before="100" w:beforeAutospacing="1" w:after="100" w:afterAutospacing="1" w:line="240" w:lineRule="auto"/>
    </w:pPr>
    <w:rPr>
      <w:rFonts w:ascii="Times New Roman" w:hAnsi="Times New Roman" w:cs="Times New Roman"/>
      <w:szCs w:val="24"/>
    </w:rPr>
  </w:style>
  <w:style w:type="character" w:customStyle="1" w:styleId="Heading6Char">
    <w:name w:val="Heading 6 Char"/>
    <w:basedOn w:val="DefaultParagraphFont"/>
    <w:link w:val="Heading6"/>
    <w:uiPriority w:val="9"/>
    <w:semiHidden/>
    <w:rsid w:val="00722BC8"/>
    <w:rPr>
      <w:caps/>
      <w:color w:val="7B230B" w:themeColor="accent1" w:themeShade="BF"/>
      <w:spacing w:val="10"/>
    </w:rPr>
  </w:style>
  <w:style w:type="character" w:customStyle="1" w:styleId="Heading7Char">
    <w:name w:val="Heading 7 Char"/>
    <w:basedOn w:val="DefaultParagraphFont"/>
    <w:link w:val="Heading7"/>
    <w:uiPriority w:val="9"/>
    <w:semiHidden/>
    <w:rsid w:val="00722BC8"/>
    <w:rPr>
      <w:caps/>
      <w:color w:val="7B230B" w:themeColor="accent1" w:themeShade="BF"/>
      <w:spacing w:val="10"/>
    </w:rPr>
  </w:style>
  <w:style w:type="character" w:customStyle="1" w:styleId="Heading8Char">
    <w:name w:val="Heading 8 Char"/>
    <w:basedOn w:val="DefaultParagraphFont"/>
    <w:link w:val="Heading8"/>
    <w:uiPriority w:val="9"/>
    <w:semiHidden/>
    <w:rsid w:val="00722BC8"/>
    <w:rPr>
      <w:caps/>
      <w:spacing w:val="10"/>
      <w:sz w:val="18"/>
      <w:szCs w:val="18"/>
    </w:rPr>
  </w:style>
  <w:style w:type="character" w:customStyle="1" w:styleId="Heading9Char">
    <w:name w:val="Heading 9 Char"/>
    <w:basedOn w:val="DefaultParagraphFont"/>
    <w:link w:val="Heading9"/>
    <w:uiPriority w:val="9"/>
    <w:semiHidden/>
    <w:rsid w:val="00722BC8"/>
    <w:rPr>
      <w:i/>
      <w:iCs/>
      <w:caps/>
      <w:spacing w:val="10"/>
      <w:sz w:val="18"/>
      <w:szCs w:val="18"/>
    </w:rPr>
  </w:style>
  <w:style w:type="paragraph" w:styleId="Title">
    <w:name w:val="Title"/>
    <w:basedOn w:val="Normal"/>
    <w:next w:val="Normal"/>
    <w:link w:val="TitleChar"/>
    <w:qFormat/>
    <w:rsid w:val="00B65566"/>
    <w:rPr>
      <w:rFonts w:ascii="Calibri" w:eastAsiaTheme="majorEastAsia" w:hAnsi="Calibri" w:cstheme="majorBidi"/>
      <w:bCs w:val="0"/>
      <w:iCs w:val="0"/>
      <w:caps/>
      <w:noProof w:val="0"/>
      <w:snapToGrid/>
      <w:color w:val="A5300F" w:themeColor="accent1"/>
      <w:spacing w:val="10"/>
      <w:sz w:val="52"/>
      <w:szCs w:val="52"/>
    </w:rPr>
  </w:style>
  <w:style w:type="character" w:customStyle="1" w:styleId="TitleChar">
    <w:name w:val="Title Char"/>
    <w:basedOn w:val="DefaultParagraphFont"/>
    <w:link w:val="Title"/>
    <w:rsid w:val="00B65566"/>
    <w:rPr>
      <w:rFonts w:ascii="Calibri" w:eastAsiaTheme="majorEastAsia" w:hAnsi="Calibri" w:cstheme="majorBidi"/>
      <w:caps/>
      <w:color w:val="A5300F" w:themeColor="accent1"/>
      <w:spacing w:val="10"/>
      <w:sz w:val="52"/>
      <w:szCs w:val="52"/>
    </w:rPr>
  </w:style>
  <w:style w:type="paragraph" w:styleId="Subtitle">
    <w:name w:val="Subtitle"/>
    <w:basedOn w:val="Normal"/>
    <w:next w:val="Normal"/>
    <w:link w:val="SubtitleChar"/>
    <w:uiPriority w:val="11"/>
    <w:qFormat/>
    <w:rsid w:val="00722BC8"/>
    <w:pPr>
      <w:spacing w:after="500" w:line="240" w:lineRule="auto"/>
    </w:pPr>
    <w:rPr>
      <w:bCs w:val="0"/>
      <w:iCs w:val="0"/>
      <w:caps/>
      <w:noProof w:val="0"/>
      <w:snapToGrid/>
      <w:color w:val="595959" w:themeColor="text1" w:themeTint="A6"/>
      <w:spacing w:val="10"/>
      <w:sz w:val="21"/>
      <w:szCs w:val="21"/>
    </w:rPr>
  </w:style>
  <w:style w:type="character" w:customStyle="1" w:styleId="SubtitleChar">
    <w:name w:val="Subtitle Char"/>
    <w:basedOn w:val="DefaultParagraphFont"/>
    <w:link w:val="Subtitle"/>
    <w:uiPriority w:val="11"/>
    <w:rsid w:val="00722BC8"/>
    <w:rPr>
      <w:caps/>
      <w:color w:val="595959" w:themeColor="text1" w:themeTint="A6"/>
      <w:spacing w:val="10"/>
      <w:sz w:val="21"/>
      <w:szCs w:val="21"/>
    </w:rPr>
  </w:style>
  <w:style w:type="character" w:styleId="Emphasis">
    <w:name w:val="Emphasis"/>
    <w:uiPriority w:val="20"/>
    <w:qFormat/>
    <w:rsid w:val="00722BC8"/>
    <w:rPr>
      <w:caps/>
      <w:color w:val="511707" w:themeColor="accent1" w:themeShade="7F"/>
      <w:spacing w:val="5"/>
    </w:rPr>
  </w:style>
  <w:style w:type="paragraph" w:styleId="Quote">
    <w:name w:val="Quote"/>
    <w:basedOn w:val="Normal"/>
    <w:next w:val="Normal"/>
    <w:link w:val="QuoteChar"/>
    <w:uiPriority w:val="29"/>
    <w:qFormat/>
    <w:rsid w:val="00722BC8"/>
    <w:rPr>
      <w:bCs w:val="0"/>
      <w:i/>
      <w:noProof w:val="0"/>
      <w:snapToGrid/>
      <w:szCs w:val="24"/>
    </w:rPr>
  </w:style>
  <w:style w:type="character" w:customStyle="1" w:styleId="QuoteChar">
    <w:name w:val="Quote Char"/>
    <w:basedOn w:val="DefaultParagraphFont"/>
    <w:link w:val="Quote"/>
    <w:uiPriority w:val="29"/>
    <w:rsid w:val="00722BC8"/>
    <w:rPr>
      <w:i/>
      <w:iCs/>
      <w:sz w:val="24"/>
      <w:szCs w:val="24"/>
    </w:rPr>
  </w:style>
  <w:style w:type="paragraph" w:styleId="IntenseQuote">
    <w:name w:val="Intense Quote"/>
    <w:basedOn w:val="Normal"/>
    <w:next w:val="Normal"/>
    <w:link w:val="IntenseQuoteChar"/>
    <w:uiPriority w:val="30"/>
    <w:qFormat/>
    <w:rsid w:val="00722BC8"/>
    <w:pPr>
      <w:spacing w:before="240" w:after="240" w:line="240" w:lineRule="auto"/>
      <w:ind w:left="1080" w:right="1080"/>
      <w:jc w:val="center"/>
    </w:pPr>
    <w:rPr>
      <w:bCs w:val="0"/>
      <w:iCs w:val="0"/>
      <w:noProof w:val="0"/>
      <w:snapToGrid/>
      <w:color w:val="A5300F" w:themeColor="accent1"/>
      <w:szCs w:val="24"/>
    </w:rPr>
  </w:style>
  <w:style w:type="character" w:customStyle="1" w:styleId="IntenseQuoteChar">
    <w:name w:val="Intense Quote Char"/>
    <w:basedOn w:val="DefaultParagraphFont"/>
    <w:link w:val="IntenseQuote"/>
    <w:uiPriority w:val="30"/>
    <w:rsid w:val="00722BC8"/>
    <w:rPr>
      <w:color w:val="A5300F" w:themeColor="accent1"/>
      <w:sz w:val="24"/>
      <w:szCs w:val="24"/>
    </w:rPr>
  </w:style>
  <w:style w:type="character" w:styleId="SubtleEmphasis">
    <w:name w:val="Subtle Emphasis"/>
    <w:uiPriority w:val="19"/>
    <w:qFormat/>
    <w:rsid w:val="00722BC8"/>
    <w:rPr>
      <w:i/>
      <w:iCs/>
      <w:color w:val="511707" w:themeColor="accent1" w:themeShade="7F"/>
    </w:rPr>
  </w:style>
  <w:style w:type="character" w:styleId="IntenseEmphasis">
    <w:name w:val="Intense Emphasis"/>
    <w:uiPriority w:val="21"/>
    <w:qFormat/>
    <w:rsid w:val="00722BC8"/>
    <w:rPr>
      <w:b/>
      <w:bCs/>
      <w:caps/>
      <w:color w:val="511707" w:themeColor="accent1" w:themeShade="7F"/>
      <w:spacing w:val="10"/>
    </w:rPr>
  </w:style>
  <w:style w:type="character" w:styleId="SubtleReference">
    <w:name w:val="Subtle Reference"/>
    <w:uiPriority w:val="31"/>
    <w:qFormat/>
    <w:rsid w:val="00722BC8"/>
    <w:rPr>
      <w:b/>
      <w:bCs/>
      <w:color w:val="A5300F" w:themeColor="accent1"/>
    </w:rPr>
  </w:style>
  <w:style w:type="character" w:styleId="IntenseReference">
    <w:name w:val="Intense Reference"/>
    <w:uiPriority w:val="32"/>
    <w:qFormat/>
    <w:rsid w:val="00722BC8"/>
    <w:rPr>
      <w:b/>
      <w:bCs/>
      <w:i/>
      <w:iCs/>
      <w:caps/>
      <w:color w:val="A5300F" w:themeColor="accent1"/>
    </w:rPr>
  </w:style>
  <w:style w:type="character" w:styleId="BookTitle">
    <w:name w:val="Book Title"/>
    <w:uiPriority w:val="33"/>
    <w:qFormat/>
    <w:rsid w:val="00722BC8"/>
    <w:rPr>
      <w:b/>
      <w:bCs/>
      <w:i/>
      <w:iCs/>
      <w:spacing w:val="0"/>
    </w:rPr>
  </w:style>
  <w:style w:type="paragraph" w:customStyle="1" w:styleId="BasicParagraph">
    <w:name w:val="[Basic Paragraph]"/>
    <w:basedOn w:val="Normal"/>
    <w:uiPriority w:val="99"/>
    <w:rsid w:val="00BD4C58"/>
    <w:pPr>
      <w:widowControl w:val="0"/>
      <w:autoSpaceDE w:val="0"/>
      <w:autoSpaceDN w:val="0"/>
      <w:adjustRightInd w:val="0"/>
      <w:spacing w:line="288" w:lineRule="auto"/>
      <w:contextualSpacing w:val="0"/>
      <w:textAlignment w:val="center"/>
    </w:pPr>
    <w:rPr>
      <w:rFonts w:ascii="MinionPro-Regular" w:eastAsiaTheme="minorHAnsi" w:hAnsi="MinionPro-Regular" w:cs="MinionPro-Regular"/>
      <w:bCs w:val="0"/>
      <w:iCs w:val="0"/>
      <w:noProof w:val="0"/>
      <w:snapToGrid/>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1559">
      <w:bodyDiv w:val="1"/>
      <w:marLeft w:val="0"/>
      <w:marRight w:val="0"/>
      <w:marTop w:val="0"/>
      <w:marBottom w:val="0"/>
      <w:divBdr>
        <w:top w:val="none" w:sz="0" w:space="0" w:color="auto"/>
        <w:left w:val="none" w:sz="0" w:space="0" w:color="auto"/>
        <w:bottom w:val="none" w:sz="0" w:space="0" w:color="auto"/>
        <w:right w:val="none" w:sz="0" w:space="0" w:color="auto"/>
      </w:divBdr>
    </w:div>
    <w:div w:id="116611173">
      <w:bodyDiv w:val="1"/>
      <w:marLeft w:val="0"/>
      <w:marRight w:val="0"/>
      <w:marTop w:val="0"/>
      <w:marBottom w:val="0"/>
      <w:divBdr>
        <w:top w:val="none" w:sz="0" w:space="0" w:color="auto"/>
        <w:left w:val="none" w:sz="0" w:space="0" w:color="auto"/>
        <w:bottom w:val="none" w:sz="0" w:space="0" w:color="auto"/>
        <w:right w:val="none" w:sz="0" w:space="0" w:color="auto"/>
      </w:divBdr>
    </w:div>
    <w:div w:id="143665843">
      <w:bodyDiv w:val="1"/>
      <w:marLeft w:val="0"/>
      <w:marRight w:val="0"/>
      <w:marTop w:val="0"/>
      <w:marBottom w:val="0"/>
      <w:divBdr>
        <w:top w:val="none" w:sz="0" w:space="0" w:color="auto"/>
        <w:left w:val="none" w:sz="0" w:space="0" w:color="auto"/>
        <w:bottom w:val="none" w:sz="0" w:space="0" w:color="auto"/>
        <w:right w:val="none" w:sz="0" w:space="0" w:color="auto"/>
      </w:divBdr>
    </w:div>
    <w:div w:id="157814809">
      <w:bodyDiv w:val="1"/>
      <w:marLeft w:val="0"/>
      <w:marRight w:val="0"/>
      <w:marTop w:val="0"/>
      <w:marBottom w:val="0"/>
      <w:divBdr>
        <w:top w:val="none" w:sz="0" w:space="0" w:color="auto"/>
        <w:left w:val="none" w:sz="0" w:space="0" w:color="auto"/>
        <w:bottom w:val="none" w:sz="0" w:space="0" w:color="auto"/>
        <w:right w:val="none" w:sz="0" w:space="0" w:color="auto"/>
      </w:divBdr>
    </w:div>
    <w:div w:id="230627924">
      <w:bodyDiv w:val="1"/>
      <w:marLeft w:val="0"/>
      <w:marRight w:val="0"/>
      <w:marTop w:val="0"/>
      <w:marBottom w:val="0"/>
      <w:divBdr>
        <w:top w:val="none" w:sz="0" w:space="0" w:color="auto"/>
        <w:left w:val="none" w:sz="0" w:space="0" w:color="auto"/>
        <w:bottom w:val="none" w:sz="0" w:space="0" w:color="auto"/>
        <w:right w:val="none" w:sz="0" w:space="0" w:color="auto"/>
      </w:divBdr>
    </w:div>
    <w:div w:id="550306268">
      <w:bodyDiv w:val="1"/>
      <w:marLeft w:val="0"/>
      <w:marRight w:val="0"/>
      <w:marTop w:val="0"/>
      <w:marBottom w:val="0"/>
      <w:divBdr>
        <w:top w:val="none" w:sz="0" w:space="0" w:color="auto"/>
        <w:left w:val="none" w:sz="0" w:space="0" w:color="auto"/>
        <w:bottom w:val="none" w:sz="0" w:space="0" w:color="auto"/>
        <w:right w:val="none" w:sz="0" w:space="0" w:color="auto"/>
      </w:divBdr>
      <w:divsChild>
        <w:div w:id="99909313">
          <w:marLeft w:val="288"/>
          <w:marRight w:val="0"/>
          <w:marTop w:val="134"/>
          <w:marBottom w:val="0"/>
          <w:divBdr>
            <w:top w:val="none" w:sz="0" w:space="0" w:color="auto"/>
            <w:left w:val="none" w:sz="0" w:space="0" w:color="auto"/>
            <w:bottom w:val="none" w:sz="0" w:space="0" w:color="auto"/>
            <w:right w:val="none" w:sz="0" w:space="0" w:color="auto"/>
          </w:divBdr>
        </w:div>
        <w:div w:id="219949824">
          <w:marLeft w:val="288"/>
          <w:marRight w:val="0"/>
          <w:marTop w:val="134"/>
          <w:marBottom w:val="0"/>
          <w:divBdr>
            <w:top w:val="none" w:sz="0" w:space="0" w:color="auto"/>
            <w:left w:val="none" w:sz="0" w:space="0" w:color="auto"/>
            <w:bottom w:val="none" w:sz="0" w:space="0" w:color="auto"/>
            <w:right w:val="none" w:sz="0" w:space="0" w:color="auto"/>
          </w:divBdr>
        </w:div>
        <w:div w:id="1161658030">
          <w:marLeft w:val="288"/>
          <w:marRight w:val="0"/>
          <w:marTop w:val="134"/>
          <w:marBottom w:val="0"/>
          <w:divBdr>
            <w:top w:val="none" w:sz="0" w:space="0" w:color="auto"/>
            <w:left w:val="none" w:sz="0" w:space="0" w:color="auto"/>
            <w:bottom w:val="none" w:sz="0" w:space="0" w:color="auto"/>
            <w:right w:val="none" w:sz="0" w:space="0" w:color="auto"/>
          </w:divBdr>
        </w:div>
        <w:div w:id="1179929518">
          <w:marLeft w:val="288"/>
          <w:marRight w:val="0"/>
          <w:marTop w:val="134"/>
          <w:marBottom w:val="0"/>
          <w:divBdr>
            <w:top w:val="none" w:sz="0" w:space="0" w:color="auto"/>
            <w:left w:val="none" w:sz="0" w:space="0" w:color="auto"/>
            <w:bottom w:val="none" w:sz="0" w:space="0" w:color="auto"/>
            <w:right w:val="none" w:sz="0" w:space="0" w:color="auto"/>
          </w:divBdr>
        </w:div>
        <w:div w:id="1615790170">
          <w:marLeft w:val="288"/>
          <w:marRight w:val="0"/>
          <w:marTop w:val="134"/>
          <w:marBottom w:val="0"/>
          <w:divBdr>
            <w:top w:val="none" w:sz="0" w:space="0" w:color="auto"/>
            <w:left w:val="none" w:sz="0" w:space="0" w:color="auto"/>
            <w:bottom w:val="none" w:sz="0" w:space="0" w:color="auto"/>
            <w:right w:val="none" w:sz="0" w:space="0" w:color="auto"/>
          </w:divBdr>
        </w:div>
        <w:div w:id="1652711919">
          <w:marLeft w:val="288"/>
          <w:marRight w:val="0"/>
          <w:marTop w:val="134"/>
          <w:marBottom w:val="0"/>
          <w:divBdr>
            <w:top w:val="none" w:sz="0" w:space="0" w:color="auto"/>
            <w:left w:val="none" w:sz="0" w:space="0" w:color="auto"/>
            <w:bottom w:val="none" w:sz="0" w:space="0" w:color="auto"/>
            <w:right w:val="none" w:sz="0" w:space="0" w:color="auto"/>
          </w:divBdr>
        </w:div>
      </w:divsChild>
    </w:div>
    <w:div w:id="583564192">
      <w:bodyDiv w:val="1"/>
      <w:marLeft w:val="0"/>
      <w:marRight w:val="0"/>
      <w:marTop w:val="0"/>
      <w:marBottom w:val="0"/>
      <w:divBdr>
        <w:top w:val="none" w:sz="0" w:space="0" w:color="auto"/>
        <w:left w:val="none" w:sz="0" w:space="0" w:color="auto"/>
        <w:bottom w:val="none" w:sz="0" w:space="0" w:color="auto"/>
        <w:right w:val="none" w:sz="0" w:space="0" w:color="auto"/>
      </w:divBdr>
    </w:div>
    <w:div w:id="996375498">
      <w:bodyDiv w:val="1"/>
      <w:marLeft w:val="0"/>
      <w:marRight w:val="0"/>
      <w:marTop w:val="0"/>
      <w:marBottom w:val="0"/>
      <w:divBdr>
        <w:top w:val="none" w:sz="0" w:space="0" w:color="auto"/>
        <w:left w:val="none" w:sz="0" w:space="0" w:color="auto"/>
        <w:bottom w:val="none" w:sz="0" w:space="0" w:color="auto"/>
        <w:right w:val="none" w:sz="0" w:space="0" w:color="auto"/>
      </w:divBdr>
    </w:div>
    <w:div w:id="1162769256">
      <w:bodyDiv w:val="1"/>
      <w:marLeft w:val="0"/>
      <w:marRight w:val="0"/>
      <w:marTop w:val="0"/>
      <w:marBottom w:val="0"/>
      <w:divBdr>
        <w:top w:val="none" w:sz="0" w:space="0" w:color="auto"/>
        <w:left w:val="none" w:sz="0" w:space="0" w:color="auto"/>
        <w:bottom w:val="none" w:sz="0" w:space="0" w:color="auto"/>
        <w:right w:val="none" w:sz="0" w:space="0" w:color="auto"/>
      </w:divBdr>
    </w:div>
    <w:div w:id="1322738782">
      <w:bodyDiv w:val="1"/>
      <w:marLeft w:val="0"/>
      <w:marRight w:val="0"/>
      <w:marTop w:val="0"/>
      <w:marBottom w:val="0"/>
      <w:divBdr>
        <w:top w:val="none" w:sz="0" w:space="0" w:color="auto"/>
        <w:left w:val="none" w:sz="0" w:space="0" w:color="auto"/>
        <w:bottom w:val="none" w:sz="0" w:space="0" w:color="auto"/>
        <w:right w:val="none" w:sz="0" w:space="0" w:color="auto"/>
      </w:divBdr>
    </w:div>
    <w:div w:id="1437561438">
      <w:bodyDiv w:val="1"/>
      <w:marLeft w:val="0"/>
      <w:marRight w:val="0"/>
      <w:marTop w:val="0"/>
      <w:marBottom w:val="0"/>
      <w:divBdr>
        <w:top w:val="none" w:sz="0" w:space="0" w:color="auto"/>
        <w:left w:val="none" w:sz="0" w:space="0" w:color="auto"/>
        <w:bottom w:val="none" w:sz="0" w:space="0" w:color="auto"/>
        <w:right w:val="none" w:sz="0" w:space="0" w:color="auto"/>
      </w:divBdr>
    </w:div>
    <w:div w:id="1476988594">
      <w:bodyDiv w:val="1"/>
      <w:marLeft w:val="0"/>
      <w:marRight w:val="0"/>
      <w:marTop w:val="0"/>
      <w:marBottom w:val="0"/>
      <w:divBdr>
        <w:top w:val="none" w:sz="0" w:space="0" w:color="auto"/>
        <w:left w:val="none" w:sz="0" w:space="0" w:color="auto"/>
        <w:bottom w:val="none" w:sz="0" w:space="0" w:color="auto"/>
        <w:right w:val="none" w:sz="0" w:space="0" w:color="auto"/>
      </w:divBdr>
    </w:div>
    <w:div w:id="1539001567">
      <w:bodyDiv w:val="1"/>
      <w:marLeft w:val="0"/>
      <w:marRight w:val="0"/>
      <w:marTop w:val="0"/>
      <w:marBottom w:val="0"/>
      <w:divBdr>
        <w:top w:val="none" w:sz="0" w:space="0" w:color="auto"/>
        <w:left w:val="none" w:sz="0" w:space="0" w:color="auto"/>
        <w:bottom w:val="none" w:sz="0" w:space="0" w:color="auto"/>
        <w:right w:val="none" w:sz="0" w:space="0" w:color="auto"/>
      </w:divBdr>
    </w:div>
    <w:div w:id="1624262599">
      <w:bodyDiv w:val="1"/>
      <w:marLeft w:val="0"/>
      <w:marRight w:val="0"/>
      <w:marTop w:val="0"/>
      <w:marBottom w:val="0"/>
      <w:divBdr>
        <w:top w:val="none" w:sz="0" w:space="0" w:color="auto"/>
        <w:left w:val="none" w:sz="0" w:space="0" w:color="auto"/>
        <w:bottom w:val="none" w:sz="0" w:space="0" w:color="auto"/>
        <w:right w:val="none" w:sz="0" w:space="0" w:color="auto"/>
      </w:divBdr>
    </w:div>
    <w:div w:id="1690065969">
      <w:bodyDiv w:val="1"/>
      <w:marLeft w:val="0"/>
      <w:marRight w:val="0"/>
      <w:marTop w:val="0"/>
      <w:marBottom w:val="0"/>
      <w:divBdr>
        <w:top w:val="none" w:sz="0" w:space="0" w:color="auto"/>
        <w:left w:val="none" w:sz="0" w:space="0" w:color="auto"/>
        <w:bottom w:val="none" w:sz="0" w:space="0" w:color="auto"/>
        <w:right w:val="none" w:sz="0" w:space="0" w:color="auto"/>
      </w:divBdr>
    </w:div>
    <w:div w:id="1709453814">
      <w:bodyDiv w:val="1"/>
      <w:marLeft w:val="0"/>
      <w:marRight w:val="0"/>
      <w:marTop w:val="0"/>
      <w:marBottom w:val="0"/>
      <w:divBdr>
        <w:top w:val="none" w:sz="0" w:space="0" w:color="auto"/>
        <w:left w:val="none" w:sz="0" w:space="0" w:color="auto"/>
        <w:bottom w:val="none" w:sz="0" w:space="0" w:color="auto"/>
        <w:right w:val="none" w:sz="0" w:space="0" w:color="auto"/>
      </w:divBdr>
    </w:div>
    <w:div w:id="1736001294">
      <w:bodyDiv w:val="1"/>
      <w:marLeft w:val="0"/>
      <w:marRight w:val="0"/>
      <w:marTop w:val="0"/>
      <w:marBottom w:val="0"/>
      <w:divBdr>
        <w:top w:val="none" w:sz="0" w:space="0" w:color="auto"/>
        <w:left w:val="none" w:sz="0" w:space="0" w:color="auto"/>
        <w:bottom w:val="none" w:sz="0" w:space="0" w:color="auto"/>
        <w:right w:val="none" w:sz="0" w:space="0" w:color="auto"/>
      </w:divBdr>
    </w:div>
    <w:div w:id="1911958369">
      <w:bodyDiv w:val="1"/>
      <w:marLeft w:val="0"/>
      <w:marRight w:val="0"/>
      <w:marTop w:val="0"/>
      <w:marBottom w:val="0"/>
      <w:divBdr>
        <w:top w:val="none" w:sz="0" w:space="0" w:color="auto"/>
        <w:left w:val="none" w:sz="0" w:space="0" w:color="auto"/>
        <w:bottom w:val="none" w:sz="0" w:space="0" w:color="auto"/>
        <w:right w:val="none" w:sz="0" w:space="0" w:color="auto"/>
      </w:divBdr>
    </w:div>
    <w:div w:id="1942956945">
      <w:bodyDiv w:val="1"/>
      <w:marLeft w:val="0"/>
      <w:marRight w:val="0"/>
      <w:marTop w:val="0"/>
      <w:marBottom w:val="0"/>
      <w:divBdr>
        <w:top w:val="none" w:sz="0" w:space="0" w:color="auto"/>
        <w:left w:val="none" w:sz="0" w:space="0" w:color="auto"/>
        <w:bottom w:val="none" w:sz="0" w:space="0" w:color="auto"/>
        <w:right w:val="none" w:sz="0" w:space="0" w:color="auto"/>
      </w:divBdr>
    </w:div>
    <w:div w:id="1976713078">
      <w:bodyDiv w:val="1"/>
      <w:marLeft w:val="0"/>
      <w:marRight w:val="0"/>
      <w:marTop w:val="0"/>
      <w:marBottom w:val="0"/>
      <w:divBdr>
        <w:top w:val="none" w:sz="0" w:space="0" w:color="auto"/>
        <w:left w:val="none" w:sz="0" w:space="0" w:color="auto"/>
        <w:bottom w:val="none" w:sz="0" w:space="0" w:color="auto"/>
        <w:right w:val="none" w:sz="0" w:space="0" w:color="auto"/>
      </w:divBdr>
    </w:div>
    <w:div w:id="207280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s://icdr.acl.gov/resources/reports/creating-sustainable-interagency-coordination-network-disability-research" TargetMode="External"/><Relationship Id="rId13" Type="http://schemas.openxmlformats.org/officeDocument/2006/relationships/hyperlink" Target="https://icdr.acl.gov/resources/reports/primer-interagency-collaboration" TargetMode="External"/><Relationship Id="rId14" Type="http://schemas.openxmlformats.org/officeDocument/2006/relationships/image" Target="media/image3.png"/><Relationship Id="rId15" Type="http://schemas.openxmlformats.org/officeDocument/2006/relationships/hyperlink" Target="http://icdr.acl.gov/resources/reports/working-group-research-gaps-problem-statements-and-final-priorities"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icdr.acl.gov/" TargetMode="External"/><Relationship Id="rId10" Type="http://schemas.openxmlformats.org/officeDocument/2006/relationships/hyperlink" Target="mailto:ICDRinfo@neweditions.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dc.gov/mmwr/preview/mmwrhtml/mm6429a2.htm" TargetMode="External"/><Relationship Id="rId2" Type="http://schemas.openxmlformats.org/officeDocument/2006/relationships/hyperlink" Target="http://www.ncd.gov/progress_reports/Oct312011" TargetMode="External"/><Relationship Id="rId3" Type="http://schemas.openxmlformats.org/officeDocument/2006/relationships/hyperlink" Target="http://www.cdc.gov/mmwr/preview/mmwrhtml/mm6039a9.htm?s_cid=mm6039a9_w"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0000CC"/>
      </a:hlink>
      <a:folHlink>
        <a:srgbClr val="9F421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85868-39E8-9F4C-925C-B3002AE05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2167</Words>
  <Characters>12353</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ICDR Government-Wide Strategic Plan FY 2017-2020</vt:lpstr>
    </vt:vector>
  </TitlesOfParts>
  <LinksUpToDate>false</LinksUpToDate>
  <CharactersWithSpaces>14492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ICDR Government-Wide Strategic Plan FY 2017-2020</dc:title>
  <dc:creator/>
  <cp:lastModifiedBy/>
  <cp:revision>1</cp:revision>
  <dcterms:created xsi:type="dcterms:W3CDTF">2018-10-11T15:40:00Z</dcterms:created>
  <dcterms:modified xsi:type="dcterms:W3CDTF">2018-10-11T15:40:00Z</dcterms:modified>
</cp:coreProperties>
</file>