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DC39" w14:textId="3FFC2D1B" w:rsidR="007A675F" w:rsidRDefault="007A675F" w:rsidP="007A675F">
      <w:pPr>
        <w:jc w:val="right"/>
      </w:pPr>
      <w:bookmarkStart w:id="0" w:name="_Toc64874722"/>
      <w:r w:rsidRPr="002F7165">
        <w:rPr>
          <w:noProof/>
        </w:rPr>
        <w:drawing>
          <wp:inline distT="0" distB="0" distL="0" distR="0" wp14:anchorId="485B39B4" wp14:editId="394AAD4C">
            <wp:extent cx="2324100" cy="623539"/>
            <wp:effectExtent l="0" t="0" r="0" b="5715"/>
            <wp:docPr id="2" name="Picture 2" descr="Interagency Committee on Disability Research (IC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4546" cy="626342"/>
                    </a:xfrm>
                    <a:prstGeom prst="rect">
                      <a:avLst/>
                    </a:prstGeom>
                  </pic:spPr>
                </pic:pic>
              </a:graphicData>
            </a:graphic>
          </wp:inline>
        </w:drawing>
      </w:r>
    </w:p>
    <w:p w14:paraId="3A008170" w14:textId="7A772B61" w:rsidR="007E22FC" w:rsidRPr="007A675F" w:rsidRDefault="007A675F" w:rsidP="001C1B56">
      <w:pPr>
        <w:pStyle w:val="Heading1"/>
        <w:rPr>
          <w:b/>
          <w:bCs w:val="0"/>
          <w:sz w:val="28"/>
        </w:rPr>
      </w:pPr>
      <w:r w:rsidRPr="007A675F">
        <w:rPr>
          <w:b/>
          <w:bCs w:val="0"/>
          <w:sz w:val="28"/>
        </w:rPr>
        <w:t>FY</w:t>
      </w:r>
      <w:r w:rsidR="009A5DBE">
        <w:rPr>
          <w:b/>
          <w:bCs w:val="0"/>
          <w:sz w:val="28"/>
        </w:rPr>
        <w:t xml:space="preserve"> </w:t>
      </w:r>
      <w:r w:rsidR="005405FE" w:rsidRPr="007A675F">
        <w:rPr>
          <w:b/>
          <w:bCs w:val="0"/>
          <w:sz w:val="28"/>
        </w:rPr>
        <w:t xml:space="preserve">2021 </w:t>
      </w:r>
      <w:r w:rsidR="007E22FC" w:rsidRPr="007A675F">
        <w:rPr>
          <w:b/>
          <w:bCs w:val="0"/>
          <w:sz w:val="28"/>
        </w:rPr>
        <w:t>I</w:t>
      </w:r>
      <w:r w:rsidR="00372C60" w:rsidRPr="007A675F">
        <w:rPr>
          <w:b/>
          <w:bCs w:val="0"/>
          <w:sz w:val="28"/>
        </w:rPr>
        <w:t xml:space="preserve">nteragency Committee </w:t>
      </w:r>
      <w:r w:rsidR="00372C60" w:rsidRPr="007A675F">
        <w:rPr>
          <w:rFonts w:asciiTheme="majorHAnsi" w:hAnsiTheme="majorHAnsi" w:cstheme="majorHAnsi"/>
          <w:b/>
          <w:bCs w:val="0"/>
          <w:sz w:val="28"/>
        </w:rPr>
        <w:t>on Disability Research</w:t>
      </w:r>
      <w:bookmarkEnd w:id="0"/>
      <w:r w:rsidRPr="007A675F">
        <w:rPr>
          <w:rFonts w:asciiTheme="majorHAnsi" w:hAnsiTheme="majorHAnsi" w:cstheme="majorHAnsi"/>
          <w:b/>
          <w:bCs w:val="0"/>
          <w:sz w:val="28"/>
        </w:rPr>
        <w:t xml:space="preserve"> Highlights</w:t>
      </w:r>
    </w:p>
    <w:p w14:paraId="5FFE0A2D" w14:textId="77777777" w:rsidR="001C1B56" w:rsidRPr="001C1B56" w:rsidRDefault="001C1B56" w:rsidP="001C1B56">
      <w:pPr>
        <w:pStyle w:val="Heading2"/>
        <w:rPr>
          <w:b/>
          <w:bCs w:val="0"/>
          <w:color w:val="2F5496" w:themeColor="accent1" w:themeShade="BF"/>
        </w:rPr>
      </w:pPr>
      <w:r w:rsidRPr="001C1B56">
        <w:rPr>
          <w:b/>
          <w:bCs w:val="0"/>
          <w:color w:val="2F5496" w:themeColor="accent1" w:themeShade="BF"/>
        </w:rPr>
        <w:t>Introduction</w:t>
      </w:r>
    </w:p>
    <w:p w14:paraId="7ECE8E53" w14:textId="362058AB" w:rsidR="00465767" w:rsidRDefault="00C84F23" w:rsidP="00C36C92">
      <w:pPr>
        <w:pStyle w:val="NoSpacing"/>
        <w:rPr>
          <w:rFonts w:ascii="Calibri" w:hAnsi="Calibri" w:cs="Calibri"/>
          <w:sz w:val="24"/>
          <w:szCs w:val="24"/>
        </w:rPr>
      </w:pPr>
      <w:r w:rsidRPr="00465767">
        <w:rPr>
          <w:rFonts w:ascii="Calibri" w:hAnsi="Calibri" w:cs="Calibri"/>
          <w:color w:val="000000"/>
          <w:sz w:val="24"/>
          <w:szCs w:val="24"/>
          <w:shd w:val="clear" w:color="auto" w:fill="FFFFFF"/>
        </w:rPr>
        <w:t xml:space="preserve">In </w:t>
      </w:r>
      <w:r w:rsidR="009A5DBE">
        <w:rPr>
          <w:rFonts w:ascii="Calibri" w:hAnsi="Calibri" w:cs="Calibri"/>
          <w:color w:val="000000"/>
          <w:sz w:val="24"/>
          <w:szCs w:val="24"/>
          <w:shd w:val="clear" w:color="auto" w:fill="FFFFFF"/>
        </w:rPr>
        <w:t>fiscal year (</w:t>
      </w:r>
      <w:r w:rsidRPr="00465767">
        <w:rPr>
          <w:rFonts w:ascii="Calibri" w:hAnsi="Calibri" w:cs="Calibri"/>
          <w:color w:val="000000"/>
          <w:sz w:val="24"/>
          <w:szCs w:val="24"/>
          <w:shd w:val="clear" w:color="auto" w:fill="FFFFFF"/>
        </w:rPr>
        <w:t>FY</w:t>
      </w:r>
      <w:r w:rsidR="009A5DBE">
        <w:rPr>
          <w:rFonts w:ascii="Calibri" w:hAnsi="Calibri" w:cs="Calibri"/>
          <w:color w:val="000000"/>
          <w:sz w:val="24"/>
          <w:szCs w:val="24"/>
          <w:shd w:val="clear" w:color="auto" w:fill="FFFFFF"/>
        </w:rPr>
        <w:t>)</w:t>
      </w:r>
      <w:r w:rsidR="00E94904" w:rsidRPr="00465767">
        <w:rPr>
          <w:rFonts w:ascii="Calibri" w:hAnsi="Calibri" w:cs="Calibri"/>
          <w:color w:val="000000"/>
          <w:sz w:val="24"/>
          <w:szCs w:val="24"/>
          <w:shd w:val="clear" w:color="auto" w:fill="FFFFFF"/>
        </w:rPr>
        <w:t xml:space="preserve"> </w:t>
      </w:r>
      <w:r w:rsidRPr="00465767">
        <w:rPr>
          <w:rFonts w:ascii="Calibri" w:hAnsi="Calibri" w:cs="Calibri"/>
          <w:color w:val="000000"/>
          <w:sz w:val="24"/>
          <w:szCs w:val="24"/>
          <w:shd w:val="clear" w:color="auto" w:fill="FFFFFF"/>
        </w:rPr>
        <w:t>202</w:t>
      </w:r>
      <w:r w:rsidR="006E1676" w:rsidRPr="00465767">
        <w:rPr>
          <w:rFonts w:ascii="Calibri" w:hAnsi="Calibri" w:cs="Calibri"/>
          <w:color w:val="000000"/>
          <w:sz w:val="24"/>
          <w:szCs w:val="24"/>
          <w:shd w:val="clear" w:color="auto" w:fill="FFFFFF"/>
        </w:rPr>
        <w:t>1</w:t>
      </w:r>
      <w:r w:rsidRPr="00465767">
        <w:rPr>
          <w:rFonts w:ascii="Calibri" w:hAnsi="Calibri" w:cs="Calibri"/>
          <w:color w:val="000000"/>
          <w:sz w:val="24"/>
          <w:szCs w:val="24"/>
          <w:shd w:val="clear" w:color="auto" w:fill="FFFFFF"/>
        </w:rPr>
        <w:t xml:space="preserve">, </w:t>
      </w:r>
      <w:r w:rsidR="00465767" w:rsidRPr="00465767">
        <w:rPr>
          <w:rFonts w:ascii="Calibri" w:hAnsi="Calibri" w:cs="Calibri"/>
          <w:sz w:val="24"/>
          <w:szCs w:val="24"/>
        </w:rPr>
        <w:t>the I</w:t>
      </w:r>
      <w:r w:rsidR="00465767">
        <w:rPr>
          <w:rFonts w:ascii="Calibri" w:hAnsi="Calibri" w:cs="Calibri"/>
          <w:sz w:val="24"/>
          <w:szCs w:val="24"/>
        </w:rPr>
        <w:t xml:space="preserve">nteragency </w:t>
      </w:r>
      <w:r w:rsidR="00465767" w:rsidRPr="00465767">
        <w:rPr>
          <w:rFonts w:ascii="Calibri" w:hAnsi="Calibri" w:cs="Calibri"/>
          <w:sz w:val="24"/>
          <w:szCs w:val="24"/>
        </w:rPr>
        <w:t>C</w:t>
      </w:r>
      <w:r w:rsidR="00465767">
        <w:rPr>
          <w:rFonts w:ascii="Calibri" w:hAnsi="Calibri" w:cs="Calibri"/>
          <w:sz w:val="24"/>
          <w:szCs w:val="24"/>
        </w:rPr>
        <w:t xml:space="preserve">ommittee on </w:t>
      </w:r>
      <w:r w:rsidR="00465767" w:rsidRPr="00465767">
        <w:rPr>
          <w:rFonts w:ascii="Calibri" w:hAnsi="Calibri" w:cs="Calibri"/>
          <w:sz w:val="24"/>
          <w:szCs w:val="24"/>
        </w:rPr>
        <w:t>D</w:t>
      </w:r>
      <w:r w:rsidR="00465767">
        <w:rPr>
          <w:rFonts w:ascii="Calibri" w:hAnsi="Calibri" w:cs="Calibri"/>
          <w:sz w:val="24"/>
          <w:szCs w:val="24"/>
        </w:rPr>
        <w:t xml:space="preserve">isability </w:t>
      </w:r>
      <w:r w:rsidR="00465767" w:rsidRPr="00465767">
        <w:rPr>
          <w:rFonts w:ascii="Calibri" w:hAnsi="Calibri" w:cs="Calibri"/>
          <w:sz w:val="24"/>
          <w:szCs w:val="24"/>
        </w:rPr>
        <w:t>R</w:t>
      </w:r>
      <w:r w:rsidR="00465767">
        <w:rPr>
          <w:rFonts w:ascii="Calibri" w:hAnsi="Calibri" w:cs="Calibri"/>
          <w:sz w:val="24"/>
          <w:szCs w:val="24"/>
        </w:rPr>
        <w:t>esearch (ICDR)</w:t>
      </w:r>
      <w:r w:rsidR="00465767" w:rsidRPr="00465767">
        <w:rPr>
          <w:rFonts w:ascii="Calibri" w:hAnsi="Calibri" w:cs="Calibri"/>
          <w:sz w:val="24"/>
          <w:szCs w:val="24"/>
        </w:rPr>
        <w:t xml:space="preserve"> promoted and optimized interagency coordination and collaboration through its activities</w:t>
      </w:r>
      <w:r w:rsidR="00465767">
        <w:rPr>
          <w:rFonts w:ascii="Calibri" w:hAnsi="Calibri" w:cs="Calibri"/>
          <w:sz w:val="24"/>
          <w:szCs w:val="24"/>
        </w:rPr>
        <w:t xml:space="preserve"> and</w:t>
      </w:r>
      <w:r w:rsidR="00465767" w:rsidRPr="00465767">
        <w:rPr>
          <w:rFonts w:ascii="Calibri" w:hAnsi="Calibri" w:cs="Calibri"/>
          <w:sz w:val="24"/>
          <w:szCs w:val="24"/>
        </w:rPr>
        <w:t xml:space="preserve"> </w:t>
      </w:r>
      <w:r w:rsidR="00465767">
        <w:rPr>
          <w:rFonts w:ascii="Calibri" w:hAnsi="Calibri" w:cs="Calibri"/>
          <w:sz w:val="24"/>
          <w:szCs w:val="24"/>
        </w:rPr>
        <w:t>continued to</w:t>
      </w:r>
      <w:r w:rsidR="00465767" w:rsidRPr="00465767">
        <w:rPr>
          <w:rFonts w:ascii="Calibri" w:hAnsi="Calibri" w:cs="Calibri"/>
          <w:sz w:val="24"/>
          <w:szCs w:val="24"/>
        </w:rPr>
        <w:t xml:space="preserve"> implement the </w:t>
      </w:r>
      <w:hyperlink r:id="rId9" w:history="1">
        <w:r w:rsidR="00465767" w:rsidRPr="00465767">
          <w:rPr>
            <w:rStyle w:val="Hyperlink"/>
            <w:rFonts w:ascii="Calibri" w:hAnsi="Calibri" w:cs="Calibri"/>
            <w:sz w:val="24"/>
            <w:szCs w:val="24"/>
          </w:rPr>
          <w:t>government-wide strategic plan</w:t>
        </w:r>
      </w:hyperlink>
      <w:r w:rsidR="00465767" w:rsidRPr="00465767">
        <w:rPr>
          <w:rFonts w:ascii="Calibri" w:hAnsi="Calibri" w:cs="Calibri"/>
          <w:sz w:val="24"/>
          <w:szCs w:val="24"/>
        </w:rPr>
        <w:t xml:space="preserve"> required by</w:t>
      </w:r>
      <w:r w:rsidR="00EC2E85">
        <w:rPr>
          <w:rFonts w:ascii="Calibri" w:hAnsi="Calibri" w:cs="Calibri"/>
          <w:sz w:val="24"/>
          <w:szCs w:val="24"/>
        </w:rPr>
        <w:t xml:space="preserve"> the</w:t>
      </w:r>
      <w:r w:rsidR="00465767" w:rsidRPr="00465767">
        <w:rPr>
          <w:rFonts w:ascii="Calibri" w:hAnsi="Calibri" w:cs="Calibri"/>
          <w:sz w:val="24"/>
          <w:szCs w:val="24"/>
        </w:rPr>
        <w:t xml:space="preserve"> </w:t>
      </w:r>
      <w:hyperlink r:id="rId10" w:history="1">
        <w:r w:rsidR="00465767" w:rsidRPr="00465767">
          <w:rPr>
            <w:rStyle w:val="Hyperlink"/>
            <w:rFonts w:ascii="Calibri" w:hAnsi="Calibri" w:cs="Calibri"/>
            <w:sz w:val="24"/>
            <w:szCs w:val="24"/>
          </w:rPr>
          <w:t>W</w:t>
        </w:r>
        <w:r w:rsidR="00EC2E85">
          <w:rPr>
            <w:rStyle w:val="Hyperlink"/>
            <w:rFonts w:ascii="Calibri" w:hAnsi="Calibri" w:cs="Calibri"/>
            <w:sz w:val="24"/>
            <w:szCs w:val="24"/>
          </w:rPr>
          <w:t xml:space="preserve">orkforce </w:t>
        </w:r>
        <w:r w:rsidR="00465767" w:rsidRPr="00465767">
          <w:rPr>
            <w:rStyle w:val="Hyperlink"/>
            <w:rFonts w:ascii="Calibri" w:hAnsi="Calibri" w:cs="Calibri"/>
            <w:sz w:val="24"/>
            <w:szCs w:val="24"/>
          </w:rPr>
          <w:t>I</w:t>
        </w:r>
        <w:r w:rsidR="00EC2E85">
          <w:rPr>
            <w:rStyle w:val="Hyperlink"/>
            <w:rFonts w:ascii="Calibri" w:hAnsi="Calibri" w:cs="Calibri"/>
            <w:sz w:val="24"/>
            <w:szCs w:val="24"/>
          </w:rPr>
          <w:t xml:space="preserve">nnovation and </w:t>
        </w:r>
        <w:r w:rsidR="00465767" w:rsidRPr="00465767">
          <w:rPr>
            <w:rStyle w:val="Hyperlink"/>
            <w:rFonts w:ascii="Calibri" w:hAnsi="Calibri" w:cs="Calibri"/>
            <w:sz w:val="24"/>
            <w:szCs w:val="24"/>
          </w:rPr>
          <w:t>O</w:t>
        </w:r>
        <w:r w:rsidR="00EC2E85">
          <w:rPr>
            <w:rStyle w:val="Hyperlink"/>
            <w:rFonts w:ascii="Calibri" w:hAnsi="Calibri" w:cs="Calibri"/>
            <w:sz w:val="24"/>
            <w:szCs w:val="24"/>
          </w:rPr>
          <w:t xml:space="preserve">pportunity </w:t>
        </w:r>
        <w:r w:rsidR="00465767" w:rsidRPr="00465767">
          <w:rPr>
            <w:rStyle w:val="Hyperlink"/>
            <w:rFonts w:ascii="Calibri" w:hAnsi="Calibri" w:cs="Calibri"/>
            <w:sz w:val="24"/>
            <w:szCs w:val="24"/>
          </w:rPr>
          <w:t>A</w:t>
        </w:r>
      </w:hyperlink>
      <w:r w:rsidR="00EC2E85">
        <w:rPr>
          <w:rStyle w:val="Hyperlink"/>
          <w:rFonts w:ascii="Calibri" w:hAnsi="Calibri" w:cs="Calibri"/>
          <w:sz w:val="24"/>
          <w:szCs w:val="24"/>
        </w:rPr>
        <w:t>ct</w:t>
      </w:r>
      <w:r w:rsidR="00465767" w:rsidRPr="00465767">
        <w:rPr>
          <w:rFonts w:ascii="Calibri" w:hAnsi="Calibri" w:cs="Calibri"/>
          <w:sz w:val="24"/>
          <w:szCs w:val="24"/>
        </w:rPr>
        <w:t xml:space="preserve">. In addition to implementing strategic plan activities, the ICDR </w:t>
      </w:r>
      <w:r w:rsidR="007A675F">
        <w:rPr>
          <w:rFonts w:ascii="Calibri" w:hAnsi="Calibri" w:cs="Calibri"/>
          <w:sz w:val="24"/>
          <w:szCs w:val="24"/>
        </w:rPr>
        <w:t xml:space="preserve">engaged with stakeholders and continued </w:t>
      </w:r>
      <w:r w:rsidR="00465767" w:rsidRPr="00465767">
        <w:rPr>
          <w:rFonts w:ascii="Calibri" w:hAnsi="Calibri" w:cs="Calibri"/>
          <w:sz w:val="24"/>
          <w:szCs w:val="24"/>
        </w:rPr>
        <w:t xml:space="preserve">its ongoing activities to support its overall </w:t>
      </w:r>
      <w:hyperlink r:id="rId11" w:history="1">
        <w:r w:rsidR="00465767" w:rsidRPr="001C1B56">
          <w:rPr>
            <w:rStyle w:val="Hyperlink"/>
            <w:rFonts w:ascii="Calibri" w:hAnsi="Calibri" w:cs="Calibri"/>
            <w:sz w:val="24"/>
            <w:szCs w:val="24"/>
          </w:rPr>
          <w:t>mission, goals, and objectives</w:t>
        </w:r>
      </w:hyperlink>
      <w:r w:rsidR="00465767" w:rsidRPr="00465767">
        <w:rPr>
          <w:rFonts w:ascii="Calibri" w:hAnsi="Calibri" w:cs="Calibri"/>
          <w:sz w:val="24"/>
          <w:szCs w:val="24"/>
        </w:rPr>
        <w:t>. These activities include</w:t>
      </w:r>
      <w:r w:rsidR="00EC2E85">
        <w:rPr>
          <w:rFonts w:ascii="Calibri" w:hAnsi="Calibri" w:cs="Calibri"/>
          <w:sz w:val="24"/>
          <w:szCs w:val="24"/>
        </w:rPr>
        <w:t>d</w:t>
      </w:r>
      <w:r w:rsidR="00465767" w:rsidRPr="00465767">
        <w:rPr>
          <w:rFonts w:ascii="Calibri" w:hAnsi="Calibri" w:cs="Calibri"/>
          <w:sz w:val="24"/>
          <w:szCs w:val="24"/>
        </w:rPr>
        <w:t xml:space="preserve">: </w:t>
      </w:r>
    </w:p>
    <w:p w14:paraId="2E87E50F" w14:textId="77777777" w:rsidR="002B71E1" w:rsidRPr="00465767" w:rsidRDefault="002B71E1" w:rsidP="00D8424B">
      <w:pPr>
        <w:pStyle w:val="NoSpacing"/>
        <w:rPr>
          <w:rFonts w:ascii="Calibri" w:hAnsi="Calibri" w:cs="Calibri"/>
          <w:sz w:val="24"/>
          <w:szCs w:val="24"/>
          <w:highlight w:val="yellow"/>
        </w:rPr>
      </w:pPr>
    </w:p>
    <w:p w14:paraId="3ACF04F5" w14:textId="1332BB9A" w:rsidR="00EA4C54" w:rsidRPr="002B71E1" w:rsidRDefault="002B71E1" w:rsidP="001B48A1">
      <w:pPr>
        <w:pStyle w:val="ListParagraph"/>
        <w:numPr>
          <w:ilvl w:val="0"/>
          <w:numId w:val="33"/>
        </w:numPr>
        <w:spacing w:after="0"/>
        <w:rPr>
          <w:sz w:val="24"/>
          <w:szCs w:val="24"/>
        </w:rPr>
      </w:pPr>
      <w:r>
        <w:rPr>
          <w:sz w:val="24"/>
          <w:szCs w:val="24"/>
        </w:rPr>
        <w:t xml:space="preserve">Exploring the impact of COVID-19 on disability and rehabilitation research and tracking research projects, </w:t>
      </w:r>
      <w:r w:rsidR="00EC2E85">
        <w:rPr>
          <w:sz w:val="24"/>
          <w:szCs w:val="24"/>
        </w:rPr>
        <w:t>initiatives,</w:t>
      </w:r>
      <w:r>
        <w:rPr>
          <w:sz w:val="24"/>
          <w:szCs w:val="24"/>
        </w:rPr>
        <w:t xml:space="preserve"> and activities being conducted by ICDR member agencies, grantees, and partners. </w:t>
      </w:r>
    </w:p>
    <w:p w14:paraId="21B5022A" w14:textId="5AC2A6E4" w:rsidR="00EA4C54" w:rsidRPr="002B71E1" w:rsidRDefault="00EA4C54" w:rsidP="001B48A1">
      <w:pPr>
        <w:pStyle w:val="ListParagraph"/>
        <w:numPr>
          <w:ilvl w:val="0"/>
          <w:numId w:val="33"/>
        </w:numPr>
        <w:spacing w:after="0"/>
        <w:rPr>
          <w:sz w:val="24"/>
          <w:szCs w:val="24"/>
        </w:rPr>
      </w:pPr>
      <w:r w:rsidRPr="002B71E1">
        <w:rPr>
          <w:sz w:val="24"/>
          <w:szCs w:val="24"/>
        </w:rPr>
        <w:t>Launching the Government</w:t>
      </w:r>
      <w:r w:rsidR="001B48A1">
        <w:rPr>
          <w:sz w:val="24"/>
          <w:szCs w:val="24"/>
        </w:rPr>
        <w:t>-</w:t>
      </w:r>
      <w:r w:rsidRPr="002B71E1">
        <w:rPr>
          <w:sz w:val="24"/>
          <w:szCs w:val="24"/>
        </w:rPr>
        <w:t>Wide Inventory of Disability, Independent Living, and Rehabilitation Research</w:t>
      </w:r>
      <w:bookmarkStart w:id="1" w:name="_Section_2:_ICDR"/>
      <w:bookmarkEnd w:id="1"/>
      <w:r w:rsidRPr="002B71E1">
        <w:rPr>
          <w:sz w:val="24"/>
          <w:szCs w:val="24"/>
        </w:rPr>
        <w:t xml:space="preserve"> – The Interagency Rehabilitation and Disability Research Portfolio.</w:t>
      </w:r>
    </w:p>
    <w:p w14:paraId="4E485BF8" w14:textId="181E5922" w:rsidR="00372C60" w:rsidRPr="002B71E1" w:rsidRDefault="006E1676" w:rsidP="001B48A1">
      <w:pPr>
        <w:pStyle w:val="ListParagraph"/>
        <w:numPr>
          <w:ilvl w:val="0"/>
          <w:numId w:val="33"/>
        </w:numPr>
        <w:spacing w:after="0"/>
        <w:rPr>
          <w:sz w:val="24"/>
          <w:szCs w:val="24"/>
        </w:rPr>
      </w:pPr>
      <w:r w:rsidRPr="002B71E1">
        <w:rPr>
          <w:sz w:val="24"/>
          <w:szCs w:val="24"/>
        </w:rPr>
        <w:t>Publishing resources on the issues of assistive technology and universal design</w:t>
      </w:r>
      <w:r w:rsidR="004B0247">
        <w:rPr>
          <w:sz w:val="24"/>
          <w:szCs w:val="24"/>
        </w:rPr>
        <w:t>;</w:t>
      </w:r>
      <w:r w:rsidRPr="002B71E1">
        <w:rPr>
          <w:sz w:val="24"/>
          <w:szCs w:val="24"/>
        </w:rPr>
        <w:t xml:space="preserve"> health care </w:t>
      </w:r>
      <w:bookmarkStart w:id="2" w:name="_Toc64874723"/>
      <w:r w:rsidR="00372C60" w:rsidRPr="002B71E1">
        <w:rPr>
          <w:sz w:val="24"/>
          <w:szCs w:val="24"/>
        </w:rPr>
        <w:t>access and quality; employment; emergency preparedness; aging; the impact of COVID-19; and health information technology for members and stakeholders.</w:t>
      </w:r>
    </w:p>
    <w:p w14:paraId="0013B93E" w14:textId="77777777" w:rsidR="00EA4C54" w:rsidRPr="002B71E1" w:rsidRDefault="00EA4C54" w:rsidP="001B48A1">
      <w:pPr>
        <w:pStyle w:val="ListParagraph"/>
        <w:numPr>
          <w:ilvl w:val="0"/>
          <w:numId w:val="33"/>
        </w:numPr>
        <w:spacing w:after="0"/>
        <w:rPr>
          <w:sz w:val="24"/>
          <w:szCs w:val="24"/>
        </w:rPr>
      </w:pPr>
      <w:r w:rsidRPr="002B71E1">
        <w:rPr>
          <w:sz w:val="24"/>
          <w:szCs w:val="24"/>
        </w:rPr>
        <w:t xml:space="preserve">Hosting the </w:t>
      </w:r>
      <w:r w:rsidRPr="002B71E1">
        <w:rPr>
          <w:iCs/>
          <w:color w:val="181818"/>
          <w:sz w:val="24"/>
          <w:szCs w:val="24"/>
        </w:rPr>
        <w:t>Employment for Youth and Young Adults with Disabilities</w:t>
      </w:r>
      <w:r w:rsidRPr="002B71E1">
        <w:rPr>
          <w:color w:val="181818"/>
          <w:sz w:val="24"/>
          <w:szCs w:val="24"/>
        </w:rPr>
        <w:t xml:space="preserve"> virtual symposium.</w:t>
      </w:r>
    </w:p>
    <w:p w14:paraId="3A2343C7" w14:textId="22746DA7" w:rsidR="00EA4C54" w:rsidRPr="002B71E1" w:rsidRDefault="00EA4C54" w:rsidP="001B48A1">
      <w:pPr>
        <w:pStyle w:val="ListParagraph"/>
        <w:numPr>
          <w:ilvl w:val="0"/>
          <w:numId w:val="33"/>
        </w:numPr>
        <w:spacing w:after="0"/>
        <w:rPr>
          <w:sz w:val="24"/>
          <w:szCs w:val="24"/>
        </w:rPr>
      </w:pPr>
      <w:r w:rsidRPr="002B71E1">
        <w:rPr>
          <w:sz w:val="24"/>
          <w:szCs w:val="24"/>
        </w:rPr>
        <w:t>Launching a Lunch and Learn series highlighting findings in current aging, disability, and rehabilitation research.</w:t>
      </w:r>
    </w:p>
    <w:p w14:paraId="213B9308" w14:textId="1A65576B" w:rsidR="00372C60" w:rsidRPr="002B71E1" w:rsidRDefault="00372C60" w:rsidP="001B48A1">
      <w:pPr>
        <w:pStyle w:val="ListParagraph"/>
        <w:numPr>
          <w:ilvl w:val="0"/>
          <w:numId w:val="33"/>
        </w:numPr>
        <w:spacing w:after="0"/>
        <w:rPr>
          <w:sz w:val="24"/>
          <w:szCs w:val="24"/>
        </w:rPr>
      </w:pPr>
      <w:r w:rsidRPr="002B71E1">
        <w:rPr>
          <w:sz w:val="24"/>
          <w:szCs w:val="24"/>
        </w:rPr>
        <w:t>Supporting continued collaboration among ICDR member agencies and partners by hosting regular E</w:t>
      </w:r>
      <w:r w:rsidR="001C1B56" w:rsidRPr="002B71E1">
        <w:rPr>
          <w:sz w:val="24"/>
          <w:szCs w:val="24"/>
        </w:rPr>
        <w:t xml:space="preserve">xecutive </w:t>
      </w:r>
      <w:r w:rsidRPr="002B71E1">
        <w:rPr>
          <w:sz w:val="24"/>
          <w:szCs w:val="24"/>
        </w:rPr>
        <w:t>C</w:t>
      </w:r>
      <w:r w:rsidR="001C1B56" w:rsidRPr="002B71E1">
        <w:rPr>
          <w:sz w:val="24"/>
          <w:szCs w:val="24"/>
        </w:rPr>
        <w:t>ommittee (EC)</w:t>
      </w:r>
      <w:r w:rsidRPr="002B71E1">
        <w:rPr>
          <w:sz w:val="24"/>
          <w:szCs w:val="24"/>
        </w:rPr>
        <w:t xml:space="preserve"> meetings.</w:t>
      </w:r>
    </w:p>
    <w:p w14:paraId="3CD75925" w14:textId="428CC49A" w:rsidR="00EA4C54" w:rsidRPr="002B71E1" w:rsidRDefault="00EA4C54" w:rsidP="001B48A1">
      <w:pPr>
        <w:pStyle w:val="ListParagraph"/>
        <w:numPr>
          <w:ilvl w:val="0"/>
          <w:numId w:val="33"/>
        </w:numPr>
        <w:spacing w:after="0"/>
        <w:rPr>
          <w:sz w:val="24"/>
          <w:szCs w:val="24"/>
        </w:rPr>
      </w:pPr>
      <w:r w:rsidRPr="002B71E1">
        <w:rPr>
          <w:sz w:val="24"/>
          <w:szCs w:val="24"/>
        </w:rPr>
        <w:t>Hosting a public stakeholder meeting.</w:t>
      </w:r>
    </w:p>
    <w:bookmarkEnd w:id="2"/>
    <w:p w14:paraId="1DA23851" w14:textId="77777777" w:rsidR="00265858" w:rsidRDefault="00265858">
      <w:pPr>
        <w:rPr>
          <w:rFonts w:ascii="Calibri" w:eastAsia="Times New Roman" w:hAnsi="Calibri" w:cs="Times New Roman"/>
          <w:b/>
          <w:color w:val="2F5496" w:themeColor="accent1" w:themeShade="BF"/>
          <w:w w:val="105"/>
          <w:sz w:val="28"/>
          <w:szCs w:val="26"/>
        </w:rPr>
      </w:pPr>
      <w:r>
        <w:rPr>
          <w:b/>
          <w:bCs/>
          <w:color w:val="2F5496" w:themeColor="accent1" w:themeShade="BF"/>
        </w:rPr>
        <w:br w:type="page"/>
      </w:r>
    </w:p>
    <w:p w14:paraId="36935545" w14:textId="707A447C" w:rsidR="001C1B56" w:rsidRPr="001C1B56" w:rsidRDefault="001C1B56" w:rsidP="001C1B56">
      <w:pPr>
        <w:pStyle w:val="Heading2"/>
        <w:rPr>
          <w:b/>
          <w:bCs w:val="0"/>
          <w:color w:val="2F5496" w:themeColor="accent1" w:themeShade="BF"/>
        </w:rPr>
      </w:pPr>
      <w:r w:rsidRPr="001C1B56">
        <w:rPr>
          <w:b/>
          <w:bCs w:val="0"/>
          <w:color w:val="2F5496" w:themeColor="accent1" w:themeShade="BF"/>
        </w:rPr>
        <w:lastRenderedPageBreak/>
        <w:t xml:space="preserve">Impact of COVID-19 on Disability and Rehabilitation Research </w:t>
      </w:r>
    </w:p>
    <w:p w14:paraId="2A94AF89" w14:textId="3170B110" w:rsidR="00F574F1" w:rsidRDefault="006752A8" w:rsidP="009A5DBE">
      <w:pPr>
        <w:spacing w:after="0" w:line="240" w:lineRule="auto"/>
        <w:rPr>
          <w:rFonts w:cstheme="minorHAnsi"/>
          <w:sz w:val="24"/>
          <w:szCs w:val="24"/>
        </w:rPr>
      </w:pPr>
      <w:r w:rsidRPr="005405FE">
        <w:rPr>
          <w:sz w:val="24"/>
          <w:szCs w:val="24"/>
        </w:rPr>
        <w:t xml:space="preserve">The COVID-19 pandemic </w:t>
      </w:r>
      <w:r w:rsidR="00F574F1" w:rsidRPr="005405FE">
        <w:rPr>
          <w:sz w:val="24"/>
          <w:szCs w:val="24"/>
        </w:rPr>
        <w:t xml:space="preserve">continues to </w:t>
      </w:r>
      <w:r w:rsidR="001E7862" w:rsidRPr="005405FE">
        <w:rPr>
          <w:sz w:val="24"/>
          <w:szCs w:val="24"/>
        </w:rPr>
        <w:t>affect</w:t>
      </w:r>
      <w:r w:rsidRPr="005405FE">
        <w:rPr>
          <w:sz w:val="24"/>
          <w:szCs w:val="24"/>
        </w:rPr>
        <w:t xml:space="preserve"> the lives of people with disabilities</w:t>
      </w:r>
      <w:r w:rsidR="00441EC1" w:rsidRPr="005405FE">
        <w:rPr>
          <w:sz w:val="24"/>
          <w:szCs w:val="24"/>
        </w:rPr>
        <w:t xml:space="preserve"> and</w:t>
      </w:r>
      <w:r w:rsidRPr="005405FE">
        <w:rPr>
          <w:sz w:val="24"/>
          <w:szCs w:val="24"/>
        </w:rPr>
        <w:t xml:space="preserve"> disability </w:t>
      </w:r>
      <w:r w:rsidR="00265858">
        <w:rPr>
          <w:sz w:val="24"/>
          <w:szCs w:val="24"/>
        </w:rPr>
        <w:t xml:space="preserve">and rehabilitation </w:t>
      </w:r>
      <w:r w:rsidRPr="005405FE">
        <w:rPr>
          <w:sz w:val="24"/>
          <w:szCs w:val="24"/>
        </w:rPr>
        <w:t xml:space="preserve">research conducted across ICDR member agencies. </w:t>
      </w:r>
      <w:hyperlink r:id="rId12" w:history="1">
        <w:r w:rsidR="005405FE" w:rsidRPr="001B48A1">
          <w:rPr>
            <w:rStyle w:val="Hyperlink"/>
            <w:rFonts w:cstheme="minorHAnsi"/>
            <w:i/>
            <w:iCs/>
            <w:sz w:val="24"/>
            <w:szCs w:val="24"/>
          </w:rPr>
          <w:t>The Impact of COVID-19 on Disability Research: New Challenges and Widening Disparities</w:t>
        </w:r>
        <w:r w:rsidR="005405FE" w:rsidRPr="00265858">
          <w:rPr>
            <w:rStyle w:val="Hyperlink"/>
            <w:rFonts w:cstheme="minorHAnsi"/>
            <w:sz w:val="24"/>
            <w:szCs w:val="24"/>
          </w:rPr>
          <w:t xml:space="preserve"> white paper</w:t>
        </w:r>
      </w:hyperlink>
      <w:r w:rsidR="005405FE" w:rsidRPr="005405FE">
        <w:rPr>
          <w:rFonts w:cstheme="minorHAnsi"/>
          <w:sz w:val="24"/>
          <w:szCs w:val="24"/>
        </w:rPr>
        <w:t xml:space="preserve"> describes the impact of the crisis on federal research and, specifically, the impact on disability research attributed to the pandemic. It describes the challenges in continuing research during the pandemic and identifies and explores innovations and emerging topics warranting further exploration in the disability research field. </w:t>
      </w:r>
    </w:p>
    <w:p w14:paraId="1D226D00" w14:textId="77777777" w:rsidR="009A5DBE" w:rsidRPr="00265858" w:rsidRDefault="009A5DBE" w:rsidP="001B48A1">
      <w:pPr>
        <w:spacing w:after="0" w:line="240" w:lineRule="auto"/>
        <w:rPr>
          <w:rFonts w:cstheme="minorHAnsi"/>
          <w:sz w:val="24"/>
          <w:szCs w:val="24"/>
        </w:rPr>
      </w:pPr>
    </w:p>
    <w:p w14:paraId="3F039A72" w14:textId="4CBC6859" w:rsidR="008B17C4" w:rsidRDefault="00265858" w:rsidP="009A5DBE">
      <w:pPr>
        <w:spacing w:after="0" w:line="240" w:lineRule="auto"/>
        <w:rPr>
          <w:sz w:val="24"/>
          <w:szCs w:val="24"/>
        </w:rPr>
      </w:pPr>
      <w:r>
        <w:rPr>
          <w:sz w:val="24"/>
          <w:szCs w:val="24"/>
        </w:rPr>
        <w:t xml:space="preserve">Throughout FY 2021, </w:t>
      </w:r>
      <w:r w:rsidR="008B17C4" w:rsidRPr="001C1B56">
        <w:rPr>
          <w:sz w:val="24"/>
          <w:szCs w:val="24"/>
        </w:rPr>
        <w:t xml:space="preserve">ICDR member agencies shared their resources </w:t>
      </w:r>
      <w:r w:rsidR="00BE7BB0" w:rsidRPr="001C1B56">
        <w:rPr>
          <w:sz w:val="24"/>
          <w:szCs w:val="24"/>
        </w:rPr>
        <w:t xml:space="preserve">and activities </w:t>
      </w:r>
      <w:r w:rsidR="008B17C4" w:rsidRPr="001C1B56">
        <w:rPr>
          <w:sz w:val="24"/>
          <w:szCs w:val="24"/>
        </w:rPr>
        <w:t>related to COVID-19 and disability</w:t>
      </w:r>
      <w:r>
        <w:rPr>
          <w:sz w:val="24"/>
          <w:szCs w:val="24"/>
        </w:rPr>
        <w:t xml:space="preserve">. Some examples include: </w:t>
      </w:r>
    </w:p>
    <w:p w14:paraId="72FC05E1" w14:textId="77777777" w:rsidR="009A5DBE" w:rsidRPr="001C1B56" w:rsidRDefault="009A5DBE" w:rsidP="001B48A1">
      <w:pPr>
        <w:spacing w:after="0" w:line="240" w:lineRule="auto"/>
        <w:rPr>
          <w:sz w:val="24"/>
          <w:szCs w:val="24"/>
        </w:rPr>
      </w:pPr>
    </w:p>
    <w:p w14:paraId="6EE671AA" w14:textId="70305F6E" w:rsidR="00BE7BB0" w:rsidRDefault="00BE7BB0" w:rsidP="009A5DBE">
      <w:pPr>
        <w:pStyle w:val="ListParagraph"/>
        <w:numPr>
          <w:ilvl w:val="0"/>
          <w:numId w:val="5"/>
        </w:numPr>
        <w:spacing w:after="0" w:line="240" w:lineRule="auto"/>
        <w:contextualSpacing w:val="0"/>
        <w:rPr>
          <w:sz w:val="24"/>
          <w:szCs w:val="24"/>
        </w:rPr>
      </w:pPr>
      <w:r w:rsidRPr="001C1B56">
        <w:rPr>
          <w:sz w:val="24"/>
          <w:szCs w:val="24"/>
        </w:rPr>
        <w:t>T</w:t>
      </w:r>
      <w:r w:rsidR="00D151AC" w:rsidRPr="001C1B56">
        <w:rPr>
          <w:sz w:val="24"/>
          <w:szCs w:val="24"/>
        </w:rPr>
        <w:t>he</w:t>
      </w:r>
      <w:r w:rsidRPr="001C1B56">
        <w:rPr>
          <w:sz w:val="24"/>
          <w:szCs w:val="24"/>
        </w:rPr>
        <w:t xml:space="preserve"> </w:t>
      </w:r>
      <w:r w:rsidR="008000BC">
        <w:rPr>
          <w:sz w:val="24"/>
          <w:szCs w:val="24"/>
        </w:rPr>
        <w:t xml:space="preserve">U.S. Department of </w:t>
      </w:r>
      <w:r w:rsidR="00D151AC" w:rsidRPr="001C1B56">
        <w:rPr>
          <w:sz w:val="24"/>
          <w:szCs w:val="24"/>
        </w:rPr>
        <w:t xml:space="preserve">Veterans Affairs </w:t>
      </w:r>
      <w:r w:rsidRPr="001C1B56">
        <w:rPr>
          <w:sz w:val="24"/>
          <w:szCs w:val="24"/>
        </w:rPr>
        <w:t xml:space="preserve">research office </w:t>
      </w:r>
      <w:r w:rsidR="001B48A1">
        <w:rPr>
          <w:sz w:val="24"/>
          <w:szCs w:val="24"/>
        </w:rPr>
        <w:t>is</w:t>
      </w:r>
      <w:r w:rsidRPr="001C1B56">
        <w:rPr>
          <w:sz w:val="24"/>
          <w:szCs w:val="24"/>
        </w:rPr>
        <w:t xml:space="preserve"> engaged in COVID-19 vaccine development and trials and has been very involved with </w:t>
      </w:r>
      <w:r w:rsidR="008000BC" w:rsidRPr="005405FE">
        <w:rPr>
          <w:sz w:val="24"/>
          <w:szCs w:val="24"/>
        </w:rPr>
        <w:t>National Institutes of Health</w:t>
      </w:r>
      <w:r w:rsidRPr="001C1B56">
        <w:rPr>
          <w:sz w:val="24"/>
          <w:szCs w:val="24"/>
        </w:rPr>
        <w:t xml:space="preserve"> partners.</w:t>
      </w:r>
    </w:p>
    <w:p w14:paraId="7D0C957C" w14:textId="77777777" w:rsidR="009A5DBE" w:rsidRPr="001C1B56" w:rsidRDefault="009A5DBE" w:rsidP="001B48A1">
      <w:pPr>
        <w:pStyle w:val="ListParagraph"/>
        <w:spacing w:after="0" w:line="240" w:lineRule="auto"/>
        <w:ind w:left="360"/>
        <w:contextualSpacing w:val="0"/>
        <w:rPr>
          <w:sz w:val="24"/>
          <w:szCs w:val="24"/>
        </w:rPr>
      </w:pPr>
    </w:p>
    <w:p w14:paraId="3341357C" w14:textId="29F08203" w:rsidR="00F574F1" w:rsidRDefault="00F574F1" w:rsidP="009A5DBE">
      <w:pPr>
        <w:pStyle w:val="ListParagraph"/>
        <w:numPr>
          <w:ilvl w:val="0"/>
          <w:numId w:val="5"/>
        </w:numPr>
        <w:spacing w:after="0" w:line="240" w:lineRule="auto"/>
        <w:contextualSpacing w:val="0"/>
        <w:rPr>
          <w:sz w:val="24"/>
          <w:szCs w:val="24"/>
        </w:rPr>
      </w:pPr>
      <w:r w:rsidRPr="001C1B56">
        <w:rPr>
          <w:sz w:val="24"/>
          <w:szCs w:val="24"/>
        </w:rPr>
        <w:t>The Indian Health Services is working with urban Indian organizations regarding COVID-19 vaccine distribution and dissemination.</w:t>
      </w:r>
    </w:p>
    <w:p w14:paraId="47A3FD09" w14:textId="77777777" w:rsidR="009A5DBE" w:rsidRPr="001B48A1" w:rsidRDefault="009A5DBE" w:rsidP="001B48A1">
      <w:pPr>
        <w:spacing w:after="0" w:line="240" w:lineRule="auto"/>
        <w:rPr>
          <w:sz w:val="24"/>
          <w:szCs w:val="24"/>
        </w:rPr>
      </w:pPr>
    </w:p>
    <w:p w14:paraId="2CA24047" w14:textId="0AB87D6B" w:rsidR="00BE7BB0" w:rsidRDefault="00BE7BB0" w:rsidP="009A5DBE">
      <w:pPr>
        <w:pStyle w:val="ListParagraph"/>
        <w:numPr>
          <w:ilvl w:val="0"/>
          <w:numId w:val="5"/>
        </w:numPr>
        <w:spacing w:after="0" w:line="240" w:lineRule="auto"/>
        <w:contextualSpacing w:val="0"/>
        <w:rPr>
          <w:sz w:val="24"/>
          <w:szCs w:val="24"/>
        </w:rPr>
      </w:pPr>
      <w:r w:rsidRPr="001C1B56">
        <w:rPr>
          <w:sz w:val="24"/>
          <w:szCs w:val="24"/>
        </w:rPr>
        <w:t xml:space="preserve">The </w:t>
      </w:r>
      <w:r w:rsidR="008000BC">
        <w:rPr>
          <w:sz w:val="24"/>
          <w:szCs w:val="24"/>
        </w:rPr>
        <w:t xml:space="preserve">U.S. Department of </w:t>
      </w:r>
      <w:r w:rsidR="008000BC" w:rsidRPr="001C1B56">
        <w:rPr>
          <w:sz w:val="24"/>
          <w:szCs w:val="24"/>
        </w:rPr>
        <w:t>Veterans Affairs</w:t>
      </w:r>
      <w:r w:rsidRPr="001C1B56">
        <w:rPr>
          <w:sz w:val="24"/>
          <w:szCs w:val="24"/>
        </w:rPr>
        <w:t xml:space="preserve"> released RFAs related to rehabilitation for people who are living with or who have survived COVID-19. This includes mental health and behavioral health (i.e., effects from isolation and social distancing), as well as the long-term neurological and cognitive consequences of COVID-19. </w:t>
      </w:r>
    </w:p>
    <w:p w14:paraId="5587F45F" w14:textId="77777777" w:rsidR="009A5DBE" w:rsidRPr="001C1B56" w:rsidRDefault="009A5DBE" w:rsidP="001B48A1">
      <w:pPr>
        <w:pStyle w:val="ListParagraph"/>
        <w:spacing w:after="0" w:line="240" w:lineRule="auto"/>
        <w:ind w:left="360"/>
        <w:contextualSpacing w:val="0"/>
        <w:rPr>
          <w:sz w:val="24"/>
          <w:szCs w:val="24"/>
        </w:rPr>
      </w:pPr>
    </w:p>
    <w:p w14:paraId="67CFDEC0" w14:textId="7A396123" w:rsidR="00BE7BB0" w:rsidRDefault="00BE7BB0" w:rsidP="009A5DBE">
      <w:pPr>
        <w:pStyle w:val="ListParagraph"/>
        <w:numPr>
          <w:ilvl w:val="0"/>
          <w:numId w:val="5"/>
        </w:numPr>
        <w:spacing w:after="0" w:line="240" w:lineRule="auto"/>
        <w:contextualSpacing w:val="0"/>
        <w:rPr>
          <w:sz w:val="24"/>
          <w:szCs w:val="24"/>
        </w:rPr>
      </w:pPr>
      <w:r w:rsidRPr="001C1B56">
        <w:rPr>
          <w:sz w:val="24"/>
          <w:szCs w:val="24"/>
        </w:rPr>
        <w:t xml:space="preserve">The </w:t>
      </w:r>
      <w:r w:rsidR="00D151AC" w:rsidRPr="001C1B56">
        <w:rPr>
          <w:sz w:val="24"/>
          <w:szCs w:val="24"/>
        </w:rPr>
        <w:t xml:space="preserve">Interagency Autism Coordinating Committee </w:t>
      </w:r>
      <w:r w:rsidRPr="001C1B56">
        <w:rPr>
          <w:sz w:val="24"/>
          <w:szCs w:val="24"/>
        </w:rPr>
        <w:t xml:space="preserve">maintains a website of coronavirus resources. This includes federal resources related to autism and other disabilities: </w:t>
      </w:r>
      <w:hyperlink r:id="rId13" w:history="1">
        <w:r w:rsidRPr="001C1B56">
          <w:rPr>
            <w:rStyle w:val="Hyperlink"/>
            <w:sz w:val="24"/>
            <w:szCs w:val="24"/>
          </w:rPr>
          <w:t>https://iacc.hhs.gov/resources/coronavirus/</w:t>
        </w:r>
      </w:hyperlink>
      <w:r w:rsidRPr="001C1B56">
        <w:rPr>
          <w:sz w:val="24"/>
          <w:szCs w:val="24"/>
        </w:rPr>
        <w:t>.</w:t>
      </w:r>
    </w:p>
    <w:p w14:paraId="3599A206" w14:textId="77777777" w:rsidR="009A5DBE" w:rsidRPr="001C1B56" w:rsidRDefault="009A5DBE" w:rsidP="001B48A1">
      <w:pPr>
        <w:pStyle w:val="ListParagraph"/>
        <w:spacing w:after="0" w:line="240" w:lineRule="auto"/>
        <w:ind w:left="360"/>
        <w:contextualSpacing w:val="0"/>
        <w:rPr>
          <w:sz w:val="24"/>
          <w:szCs w:val="24"/>
        </w:rPr>
      </w:pPr>
    </w:p>
    <w:p w14:paraId="075DAE7A" w14:textId="305166B7" w:rsidR="00BE7BB0" w:rsidRPr="001C1B56" w:rsidRDefault="00BE7BB0" w:rsidP="001B48A1">
      <w:pPr>
        <w:pStyle w:val="ListParagraph"/>
        <w:numPr>
          <w:ilvl w:val="0"/>
          <w:numId w:val="5"/>
        </w:numPr>
        <w:spacing w:after="0" w:line="240" w:lineRule="auto"/>
        <w:contextualSpacing w:val="0"/>
        <w:rPr>
          <w:sz w:val="24"/>
          <w:szCs w:val="24"/>
        </w:rPr>
      </w:pPr>
      <w:r w:rsidRPr="001C1B56">
        <w:rPr>
          <w:sz w:val="24"/>
          <w:szCs w:val="24"/>
        </w:rPr>
        <w:t xml:space="preserve">The </w:t>
      </w:r>
      <w:r w:rsidR="00D151AC" w:rsidRPr="001C1B56">
        <w:rPr>
          <w:sz w:val="24"/>
          <w:szCs w:val="24"/>
        </w:rPr>
        <w:t xml:space="preserve">Centers for Disease Control and Prevention </w:t>
      </w:r>
      <w:r w:rsidRPr="001C1B56">
        <w:rPr>
          <w:sz w:val="24"/>
          <w:szCs w:val="24"/>
        </w:rPr>
        <w:t>has been working on several COVID-19</w:t>
      </w:r>
      <w:r w:rsidR="00F020FF">
        <w:rPr>
          <w:sz w:val="24"/>
          <w:szCs w:val="24"/>
        </w:rPr>
        <w:t>-</w:t>
      </w:r>
      <w:r w:rsidRPr="001C1B56">
        <w:rPr>
          <w:sz w:val="24"/>
          <w:szCs w:val="24"/>
        </w:rPr>
        <w:t xml:space="preserve">related products, including research related to accessible materials for people with disabilities. They also have cooperative agreements in the works regarding individual states, disability, and health. </w:t>
      </w:r>
    </w:p>
    <w:p w14:paraId="26F3BD45" w14:textId="15674981" w:rsidR="00EB0846" w:rsidRPr="001C1B56" w:rsidRDefault="00EB0846" w:rsidP="00EB0846">
      <w:pPr>
        <w:pStyle w:val="Heading2"/>
        <w:rPr>
          <w:b/>
          <w:bCs w:val="0"/>
          <w:color w:val="2F5496" w:themeColor="accent1" w:themeShade="BF"/>
        </w:rPr>
      </w:pPr>
      <w:r w:rsidRPr="001C1B56">
        <w:rPr>
          <w:b/>
          <w:bCs w:val="0"/>
          <w:color w:val="2F5496" w:themeColor="accent1" w:themeShade="BF"/>
        </w:rPr>
        <w:t>Searchable Government</w:t>
      </w:r>
      <w:r w:rsidR="001B48A1">
        <w:rPr>
          <w:b/>
          <w:bCs w:val="0"/>
          <w:color w:val="2F5496" w:themeColor="accent1" w:themeShade="BF"/>
        </w:rPr>
        <w:t>-</w:t>
      </w:r>
      <w:r w:rsidRPr="001C1B56">
        <w:rPr>
          <w:b/>
          <w:bCs w:val="0"/>
          <w:color w:val="2F5496" w:themeColor="accent1" w:themeShade="BF"/>
        </w:rPr>
        <w:t>Wide Inventory of Disability, Independent Living, and Rehabilitation Research</w:t>
      </w:r>
    </w:p>
    <w:p w14:paraId="25A5D5E4" w14:textId="58EC9EB3" w:rsidR="00EB0846" w:rsidRPr="006E5DD4" w:rsidRDefault="0067495B" w:rsidP="001B48A1">
      <w:pPr>
        <w:spacing w:after="0" w:line="240" w:lineRule="auto"/>
        <w:rPr>
          <w:rFonts w:asciiTheme="majorHAnsi" w:hAnsiTheme="majorHAnsi" w:cstheme="majorHAnsi"/>
          <w:sz w:val="24"/>
          <w:szCs w:val="24"/>
        </w:rPr>
      </w:pPr>
      <w:r>
        <w:rPr>
          <w:sz w:val="24"/>
          <w:szCs w:val="24"/>
        </w:rPr>
        <w:t>T</w:t>
      </w:r>
      <w:r w:rsidRPr="0067495B">
        <w:rPr>
          <w:sz w:val="24"/>
          <w:szCs w:val="24"/>
        </w:rPr>
        <w:t>he Workforce Innovation and Opportunity Act</w:t>
      </w:r>
      <w:r w:rsidRPr="0067495B" w:rsidDel="0067495B">
        <w:rPr>
          <w:sz w:val="24"/>
          <w:szCs w:val="24"/>
        </w:rPr>
        <w:t xml:space="preserve"> </w:t>
      </w:r>
      <w:r w:rsidR="00EB0846" w:rsidRPr="005405FE">
        <w:rPr>
          <w:sz w:val="24"/>
          <w:szCs w:val="24"/>
        </w:rPr>
        <w:t xml:space="preserve">requires the ICDR to develop and maintain a searchable </w:t>
      </w:r>
      <w:r w:rsidR="00F020FF" w:rsidRPr="001B48A1">
        <w:rPr>
          <w:sz w:val="24"/>
          <w:szCs w:val="24"/>
        </w:rPr>
        <w:t>government</w:t>
      </w:r>
      <w:r w:rsidR="001B48A1">
        <w:rPr>
          <w:sz w:val="24"/>
          <w:szCs w:val="24"/>
        </w:rPr>
        <w:t>-</w:t>
      </w:r>
      <w:r w:rsidR="00F020FF" w:rsidRPr="001B48A1">
        <w:rPr>
          <w:sz w:val="24"/>
          <w:szCs w:val="24"/>
        </w:rPr>
        <w:t>wide inventory</w:t>
      </w:r>
      <w:r w:rsidR="00F020FF" w:rsidRPr="001B48A1" w:rsidDel="00B51B56">
        <w:rPr>
          <w:sz w:val="24"/>
          <w:szCs w:val="24"/>
        </w:rPr>
        <w:t xml:space="preserve"> </w:t>
      </w:r>
      <w:r w:rsidR="00F020FF" w:rsidRPr="001B48A1">
        <w:rPr>
          <w:sz w:val="24"/>
          <w:szCs w:val="24"/>
        </w:rPr>
        <w:t xml:space="preserve">(GWI) </w:t>
      </w:r>
      <w:r w:rsidR="00EB0846" w:rsidRPr="005405FE">
        <w:rPr>
          <w:sz w:val="24"/>
          <w:szCs w:val="24"/>
        </w:rPr>
        <w:t xml:space="preserve">of disability, independent living, and rehabilitation research for trend and data analysis across federal agencies. The GWI working group previously identified the National Institutes of Health Library within the Office of Research Services as a resource for this task. </w:t>
      </w:r>
      <w:r w:rsidR="00F405D6" w:rsidRPr="005405FE">
        <w:rPr>
          <w:rFonts w:cstheme="minorHAnsi"/>
          <w:sz w:val="24"/>
          <w:szCs w:val="24"/>
        </w:rPr>
        <w:t xml:space="preserve">During FY 2021, the working group launched the GWI (i.e., </w:t>
      </w:r>
      <w:r>
        <w:rPr>
          <w:rFonts w:cstheme="minorHAnsi"/>
          <w:sz w:val="24"/>
          <w:szCs w:val="24"/>
        </w:rPr>
        <w:t>t</w:t>
      </w:r>
      <w:r w:rsidR="00F405D6" w:rsidRPr="005405FE">
        <w:rPr>
          <w:rFonts w:cstheme="minorHAnsi"/>
          <w:sz w:val="24"/>
          <w:szCs w:val="24"/>
        </w:rPr>
        <w:t>he Interagency Rehabilitation and Disability Research Portfolio)</w:t>
      </w:r>
      <w:r w:rsidR="00D151AC" w:rsidRPr="005405FE">
        <w:rPr>
          <w:rFonts w:cstheme="minorHAnsi"/>
          <w:sz w:val="24"/>
          <w:szCs w:val="24"/>
        </w:rPr>
        <w:t xml:space="preserve">, with the </w:t>
      </w:r>
      <w:r w:rsidR="00F405D6" w:rsidRPr="005405FE">
        <w:rPr>
          <w:rFonts w:cstheme="minorHAnsi"/>
          <w:sz w:val="24"/>
          <w:szCs w:val="24"/>
        </w:rPr>
        <w:t xml:space="preserve">ontology, security features, visualization, and functionality developed and tested before launch. The </w:t>
      </w:r>
      <w:r w:rsidR="00F77AE3" w:rsidRPr="005405FE">
        <w:rPr>
          <w:rFonts w:cstheme="minorHAnsi"/>
          <w:sz w:val="24"/>
          <w:szCs w:val="24"/>
        </w:rPr>
        <w:lastRenderedPageBreak/>
        <w:t xml:space="preserve">current </w:t>
      </w:r>
      <w:r w:rsidR="00F405D6" w:rsidRPr="005405FE">
        <w:rPr>
          <w:rFonts w:cstheme="minorHAnsi"/>
          <w:sz w:val="24"/>
          <w:szCs w:val="24"/>
        </w:rPr>
        <w:t>portfolio contributors include the Administration for Community Living, Centers for Disease Control and Prevention, U.S. Department of Defense, U.S. Department of Health and Human Services, the National Institute on Disability, Independent Living, and Rehabilitation Research, National Institutes of Health, National Science Foundation, and U.S. Department of Veterans Affairs.</w:t>
      </w:r>
      <w:r w:rsidR="00F405D6" w:rsidRPr="005405FE">
        <w:rPr>
          <w:rFonts w:asciiTheme="majorHAnsi" w:hAnsiTheme="majorHAnsi" w:cstheme="majorHAnsi"/>
          <w:sz w:val="24"/>
          <w:szCs w:val="24"/>
        </w:rPr>
        <w:t xml:space="preserve"> </w:t>
      </w:r>
    </w:p>
    <w:p w14:paraId="25F3CA5E" w14:textId="20D399C4" w:rsidR="00EB0846" w:rsidRPr="001C1B56" w:rsidRDefault="00EB0846" w:rsidP="00EB0846">
      <w:pPr>
        <w:pStyle w:val="Heading2"/>
        <w:rPr>
          <w:b/>
          <w:bCs w:val="0"/>
          <w:color w:val="2F5496" w:themeColor="accent1" w:themeShade="BF"/>
        </w:rPr>
      </w:pPr>
      <w:bookmarkStart w:id="3" w:name="_Toc64874730"/>
      <w:bookmarkStart w:id="4" w:name="_Toc519774849"/>
      <w:bookmarkStart w:id="5" w:name="_Toc63410494"/>
      <w:bookmarkStart w:id="6" w:name="_Toc63421151"/>
      <w:bookmarkStart w:id="7" w:name="_Toc64874729"/>
      <w:r w:rsidRPr="001C1B56">
        <w:rPr>
          <w:b/>
          <w:bCs w:val="0"/>
          <w:color w:val="2F5496" w:themeColor="accent1" w:themeShade="BF"/>
        </w:rPr>
        <w:t>New</w:t>
      </w:r>
      <w:r w:rsidR="001C1B56">
        <w:rPr>
          <w:b/>
          <w:bCs w:val="0"/>
          <w:color w:val="2F5496" w:themeColor="accent1" w:themeShade="BF"/>
        </w:rPr>
        <w:t xml:space="preserve"> ICDR</w:t>
      </w:r>
      <w:r w:rsidRPr="001C1B56">
        <w:rPr>
          <w:b/>
          <w:bCs w:val="0"/>
          <w:color w:val="2F5496" w:themeColor="accent1" w:themeShade="BF"/>
        </w:rPr>
        <w:t xml:space="preserve"> Interagency Resources</w:t>
      </w:r>
      <w:bookmarkEnd w:id="3"/>
    </w:p>
    <w:p w14:paraId="5E35559E" w14:textId="4E39BCFD" w:rsidR="00F77AE3" w:rsidRPr="001B48A1" w:rsidRDefault="00F77AE3" w:rsidP="00F77AE3">
      <w:pPr>
        <w:pStyle w:val="Heading3"/>
        <w:rPr>
          <w:rFonts w:asciiTheme="minorHAnsi" w:hAnsiTheme="minorHAnsi" w:cstheme="minorHAnsi"/>
          <w:i/>
          <w:iCs/>
          <w:sz w:val="22"/>
        </w:rPr>
      </w:pPr>
      <w:bookmarkStart w:id="8" w:name="_Toc64874731"/>
      <w:r w:rsidRPr="006E7AAA">
        <w:rPr>
          <w:rFonts w:asciiTheme="minorHAnsi" w:hAnsiTheme="minorHAnsi" w:cstheme="minorHAnsi"/>
          <w:i/>
          <w:iCs/>
          <w:sz w:val="22"/>
          <w:highlight w:val="green"/>
        </w:rPr>
        <w:t>Employment: A Toolkit for Interagency Collaboration</w:t>
      </w:r>
    </w:p>
    <w:p w14:paraId="3F227AF8" w14:textId="3B62B236" w:rsidR="00F77AE3" w:rsidRPr="005405FE" w:rsidRDefault="00F77AE3" w:rsidP="001B48A1">
      <w:pPr>
        <w:spacing w:after="0" w:line="240" w:lineRule="auto"/>
        <w:rPr>
          <w:rStyle w:val="Hyperlink"/>
          <w:rFonts w:asciiTheme="majorHAnsi" w:eastAsiaTheme="majorEastAsia" w:hAnsiTheme="majorHAnsi" w:cstheme="minorHAnsi"/>
          <w:b/>
          <w:bCs/>
          <w:sz w:val="24"/>
          <w:szCs w:val="24"/>
        </w:rPr>
      </w:pPr>
      <w:r w:rsidRPr="005405FE">
        <w:rPr>
          <w:rFonts w:cstheme="minorHAnsi"/>
          <w:sz w:val="24"/>
          <w:szCs w:val="24"/>
        </w:rPr>
        <w:t xml:space="preserve">The ICDR </w:t>
      </w:r>
      <w:r w:rsidRPr="001B48A1">
        <w:rPr>
          <w:rFonts w:cstheme="minorHAnsi"/>
          <w:i/>
          <w:sz w:val="24"/>
          <w:szCs w:val="24"/>
        </w:rPr>
        <w:t>Employment</w:t>
      </w:r>
      <w:r w:rsidRPr="005405FE">
        <w:rPr>
          <w:rFonts w:cstheme="minorHAnsi"/>
          <w:iCs/>
          <w:sz w:val="24"/>
          <w:szCs w:val="24"/>
        </w:rPr>
        <w:t xml:space="preserve"> </w:t>
      </w:r>
      <w:r w:rsidR="002967BD">
        <w:rPr>
          <w:rFonts w:cstheme="minorHAnsi"/>
          <w:iCs/>
          <w:sz w:val="24"/>
          <w:szCs w:val="24"/>
        </w:rPr>
        <w:t>t</w:t>
      </w:r>
      <w:r w:rsidRPr="005405FE">
        <w:rPr>
          <w:rFonts w:cstheme="minorHAnsi"/>
          <w:iCs/>
          <w:sz w:val="24"/>
          <w:szCs w:val="24"/>
        </w:rPr>
        <w:t>oolkit</w:t>
      </w:r>
      <w:r w:rsidRPr="005405FE">
        <w:rPr>
          <w:rFonts w:cstheme="minorHAnsi"/>
          <w:i/>
          <w:sz w:val="24"/>
          <w:szCs w:val="24"/>
        </w:rPr>
        <w:t xml:space="preserve"> </w:t>
      </w:r>
      <w:r w:rsidRPr="005405FE">
        <w:rPr>
          <w:rFonts w:cstheme="minorHAnsi"/>
          <w:sz w:val="24"/>
          <w:szCs w:val="24"/>
        </w:rPr>
        <w:t xml:space="preserve">promotes additional research by federal agencies and departments </w:t>
      </w:r>
      <w:r w:rsidR="002342A4">
        <w:rPr>
          <w:rFonts w:cstheme="minorHAnsi"/>
          <w:sz w:val="24"/>
          <w:szCs w:val="24"/>
        </w:rPr>
        <w:t>as well as</w:t>
      </w:r>
      <w:r w:rsidR="002342A4" w:rsidRPr="005405FE">
        <w:rPr>
          <w:rFonts w:cstheme="minorHAnsi"/>
          <w:sz w:val="24"/>
          <w:szCs w:val="24"/>
        </w:rPr>
        <w:t xml:space="preserve"> </w:t>
      </w:r>
      <w:r w:rsidRPr="005405FE">
        <w:rPr>
          <w:rFonts w:cstheme="minorHAnsi"/>
          <w:sz w:val="24"/>
          <w:szCs w:val="24"/>
        </w:rPr>
        <w:t xml:space="preserve">collaboration in the field of employment for people with disabilities by describing current employment resources and providing examples of federal employment promotion activities. It also describes resources on various subtopics focusing on the employment of people with disabilities. In addition, the toolkit identifies unexplored employment research areas that could benefit from interagency collaboration. </w:t>
      </w:r>
      <w:r w:rsidR="001E7862" w:rsidRPr="005405FE">
        <w:rPr>
          <w:rFonts w:cstheme="minorHAnsi"/>
          <w:sz w:val="24"/>
          <w:szCs w:val="24"/>
        </w:rPr>
        <w:t>Examples of areas for future research focusing on technology include</w:t>
      </w:r>
      <w:r w:rsidRPr="005405FE">
        <w:rPr>
          <w:rFonts w:cstheme="minorHAnsi"/>
          <w:sz w:val="24"/>
          <w:szCs w:val="24"/>
        </w:rPr>
        <w:t xml:space="preserve"> examining the economic benefit of designing products for accessibility at the onset versus later revision or modification</w:t>
      </w:r>
      <w:r w:rsidR="001E7862" w:rsidRPr="005405FE">
        <w:rPr>
          <w:rFonts w:cstheme="minorHAnsi"/>
          <w:sz w:val="24"/>
          <w:szCs w:val="24"/>
        </w:rPr>
        <w:t>. Examples focusing on practice and policy include</w:t>
      </w:r>
      <w:r w:rsidRPr="005405FE">
        <w:rPr>
          <w:rFonts w:cstheme="minorHAnsi"/>
          <w:sz w:val="24"/>
          <w:szCs w:val="24"/>
        </w:rPr>
        <w:t xml:space="preserve"> identifying evidence-based practices to support </w:t>
      </w:r>
      <w:r w:rsidR="001E7862" w:rsidRPr="005405FE">
        <w:rPr>
          <w:rFonts w:cstheme="minorHAnsi"/>
          <w:sz w:val="24"/>
          <w:szCs w:val="24"/>
        </w:rPr>
        <w:t>youth transition to postsecondary education and employment, developing opportunities to scale transition interventions, and advancing the study of career pathways</w:t>
      </w:r>
      <w:r w:rsidRPr="005405FE">
        <w:rPr>
          <w:rFonts w:cstheme="minorHAnsi"/>
          <w:sz w:val="24"/>
          <w:szCs w:val="24"/>
        </w:rPr>
        <w:t xml:space="preserve"> </w:t>
      </w:r>
      <w:r w:rsidR="001E7862" w:rsidRPr="005405FE">
        <w:rPr>
          <w:rFonts w:cstheme="minorHAnsi"/>
          <w:sz w:val="24"/>
          <w:szCs w:val="24"/>
        </w:rPr>
        <w:t xml:space="preserve">that </w:t>
      </w:r>
      <w:r w:rsidRPr="005405FE">
        <w:rPr>
          <w:rFonts w:cstheme="minorHAnsi"/>
          <w:sz w:val="24"/>
          <w:szCs w:val="24"/>
        </w:rPr>
        <w:t xml:space="preserve">include people with disabilities. The toolkit is posted on the ICDR website at this link: </w:t>
      </w:r>
      <w:hyperlink r:id="rId14" w:history="1">
        <w:r w:rsidRPr="005405FE">
          <w:rPr>
            <w:rStyle w:val="Hyperlink"/>
            <w:rFonts w:cstheme="minorHAnsi"/>
            <w:sz w:val="24"/>
            <w:szCs w:val="24"/>
          </w:rPr>
          <w:t>https://icdr.acl.gov/system/files/resources/EMP-Toolkit.3.9.21_508.pdf</w:t>
        </w:r>
      </w:hyperlink>
    </w:p>
    <w:p w14:paraId="490D2E15" w14:textId="6DF1C7F0" w:rsidR="00F77AE3" w:rsidRPr="001B48A1" w:rsidRDefault="00F77AE3" w:rsidP="00F77AE3">
      <w:pPr>
        <w:pStyle w:val="Heading3"/>
        <w:rPr>
          <w:rFonts w:asciiTheme="minorHAnsi" w:hAnsiTheme="minorHAnsi" w:cstheme="minorHAnsi"/>
          <w:i/>
          <w:iCs/>
          <w:sz w:val="22"/>
        </w:rPr>
      </w:pPr>
      <w:r w:rsidRPr="0039115A">
        <w:rPr>
          <w:rFonts w:asciiTheme="minorHAnsi" w:hAnsiTheme="minorHAnsi" w:cstheme="minorHAnsi"/>
          <w:i/>
          <w:iCs/>
          <w:sz w:val="22"/>
          <w:highlight w:val="green"/>
        </w:rPr>
        <w:t>Health Care Access and Quality for People with Disabilities</w:t>
      </w:r>
      <w:r w:rsidR="00C36C92" w:rsidRPr="0039115A">
        <w:rPr>
          <w:rFonts w:asciiTheme="minorHAnsi" w:hAnsiTheme="minorHAnsi" w:cstheme="minorHAnsi"/>
          <w:i/>
          <w:iCs/>
          <w:sz w:val="22"/>
          <w:highlight w:val="green"/>
        </w:rPr>
        <w:t>: A</w:t>
      </w:r>
      <w:r w:rsidRPr="0039115A">
        <w:rPr>
          <w:rFonts w:asciiTheme="minorHAnsi" w:hAnsiTheme="minorHAnsi" w:cstheme="minorHAnsi"/>
          <w:i/>
          <w:iCs/>
          <w:sz w:val="22"/>
          <w:highlight w:val="green"/>
        </w:rPr>
        <w:t xml:space="preserve"> Toolkit</w:t>
      </w:r>
      <w:r w:rsidR="00C36C92" w:rsidRPr="0039115A">
        <w:rPr>
          <w:rFonts w:asciiTheme="minorHAnsi" w:hAnsiTheme="minorHAnsi" w:cstheme="minorHAnsi"/>
          <w:i/>
          <w:iCs/>
          <w:sz w:val="22"/>
          <w:highlight w:val="green"/>
        </w:rPr>
        <w:t xml:space="preserve"> for Interagency Collaboration</w:t>
      </w:r>
      <w:r w:rsidRPr="001B48A1">
        <w:rPr>
          <w:rFonts w:asciiTheme="minorHAnsi" w:hAnsiTheme="minorHAnsi" w:cstheme="minorHAnsi"/>
          <w:i/>
          <w:iCs/>
          <w:sz w:val="22"/>
        </w:rPr>
        <w:t xml:space="preserve"> </w:t>
      </w:r>
    </w:p>
    <w:p w14:paraId="7D05B9CA" w14:textId="545B8B0C" w:rsidR="00EB0846" w:rsidRPr="005405FE" w:rsidRDefault="00F77AE3" w:rsidP="001B48A1">
      <w:pPr>
        <w:spacing w:after="0" w:line="240" w:lineRule="auto"/>
        <w:rPr>
          <w:rStyle w:val="Heading3Char"/>
          <w:rFonts w:asciiTheme="minorHAnsi" w:eastAsiaTheme="minorEastAsia" w:hAnsiTheme="minorHAnsi" w:cstheme="minorBidi"/>
          <w:b w:val="0"/>
          <w:bCs w:val="0"/>
          <w:color w:val="auto"/>
          <w:szCs w:val="24"/>
        </w:rPr>
      </w:pPr>
      <w:r w:rsidRPr="005405FE">
        <w:rPr>
          <w:rFonts w:cstheme="minorHAnsi"/>
          <w:sz w:val="24"/>
          <w:szCs w:val="24"/>
        </w:rPr>
        <w:t xml:space="preserve">The ICDR’s </w:t>
      </w:r>
      <w:r w:rsidRPr="001B48A1">
        <w:rPr>
          <w:rFonts w:cstheme="minorHAnsi"/>
          <w:i/>
          <w:sz w:val="24"/>
          <w:szCs w:val="24"/>
        </w:rPr>
        <w:t xml:space="preserve">Health Care Access and Quality </w:t>
      </w:r>
      <w:r w:rsidR="00C36C92" w:rsidRPr="001B48A1">
        <w:rPr>
          <w:rFonts w:cstheme="minorHAnsi"/>
          <w:i/>
          <w:sz w:val="24"/>
          <w:szCs w:val="24"/>
        </w:rPr>
        <w:t>for People with Disabilities</w:t>
      </w:r>
      <w:r w:rsidR="00C36C92">
        <w:rPr>
          <w:rFonts w:cstheme="minorHAnsi"/>
          <w:iCs/>
          <w:sz w:val="24"/>
          <w:szCs w:val="24"/>
        </w:rPr>
        <w:t xml:space="preserve"> t</w:t>
      </w:r>
      <w:r w:rsidRPr="005405FE">
        <w:rPr>
          <w:rFonts w:cstheme="minorHAnsi"/>
          <w:iCs/>
          <w:sz w:val="24"/>
          <w:szCs w:val="24"/>
        </w:rPr>
        <w:t>oolkit</w:t>
      </w:r>
      <w:r w:rsidRPr="005405FE">
        <w:rPr>
          <w:rFonts w:cstheme="minorHAnsi"/>
          <w:sz w:val="24"/>
          <w:szCs w:val="24"/>
        </w:rPr>
        <w:t xml:space="preserve"> provides resources for future research on health care access and equity to address the health disparity issues that people with disabilities face. The toolkit includes an overview of federal programs and research, best practices, and areas for future research on health</w:t>
      </w:r>
      <w:r w:rsidR="002342A4">
        <w:rPr>
          <w:rFonts w:cstheme="minorHAnsi"/>
          <w:sz w:val="24"/>
          <w:szCs w:val="24"/>
        </w:rPr>
        <w:t xml:space="preserve"> </w:t>
      </w:r>
      <w:r w:rsidRPr="005405FE">
        <w:rPr>
          <w:rFonts w:cstheme="minorHAnsi"/>
          <w:sz w:val="24"/>
          <w:szCs w:val="24"/>
        </w:rPr>
        <w:t xml:space="preserve">care access and quality for people with disabilities. Examples of areas for future research include access to adaptive equipment, the impact of delaying medical care due to cost, local approaches to resolving access challenges, development of a cultural competency model for addressing health care, and measuring the cost as a nation of not successfully caring for people with disabilities. The toolkit is posted on the ICDR website at this link: </w:t>
      </w:r>
      <w:hyperlink r:id="rId15" w:history="1">
        <w:r w:rsidRPr="005405FE">
          <w:rPr>
            <w:rStyle w:val="Hyperlink"/>
            <w:rFonts w:cstheme="minorHAnsi"/>
            <w:sz w:val="24"/>
            <w:szCs w:val="24"/>
          </w:rPr>
          <w:t>https://icdr.acl.gov/system/files/resources/ICDR-Health%20Care%20Access-Qual-Toolkit.091021%20508.pdf</w:t>
        </w:r>
      </w:hyperlink>
      <w:bookmarkStart w:id="9" w:name="_Toc64874732"/>
      <w:bookmarkEnd w:id="8"/>
    </w:p>
    <w:p w14:paraId="1E7879DD" w14:textId="623BA706" w:rsidR="00366E38" w:rsidRPr="001B48A1" w:rsidRDefault="00366E38" w:rsidP="00366E38">
      <w:pPr>
        <w:pStyle w:val="Heading3"/>
        <w:rPr>
          <w:rFonts w:asciiTheme="minorHAnsi" w:hAnsiTheme="minorHAnsi" w:cstheme="minorHAnsi"/>
          <w:i/>
          <w:iCs/>
          <w:sz w:val="22"/>
        </w:rPr>
      </w:pPr>
      <w:r w:rsidRPr="0076255C">
        <w:rPr>
          <w:rFonts w:asciiTheme="minorHAnsi" w:hAnsiTheme="minorHAnsi" w:cstheme="minorHAnsi"/>
          <w:i/>
          <w:iCs/>
          <w:sz w:val="22"/>
          <w:highlight w:val="green"/>
        </w:rPr>
        <w:t>Health Information Technology (IT) Toolkit: A Compendium of Accessible &amp; Usable Health IT Resources</w:t>
      </w:r>
    </w:p>
    <w:p w14:paraId="49A44FDB" w14:textId="229566AF" w:rsidR="00B910D9" w:rsidRPr="005405FE" w:rsidRDefault="00366E38" w:rsidP="001B48A1">
      <w:pPr>
        <w:spacing w:after="0" w:line="240" w:lineRule="auto"/>
        <w:rPr>
          <w:rFonts w:cstheme="minorHAnsi"/>
          <w:color w:val="0563C1" w:themeColor="hyperlink"/>
          <w:sz w:val="24"/>
          <w:szCs w:val="24"/>
          <w:u w:val="single"/>
        </w:rPr>
      </w:pPr>
      <w:r w:rsidRPr="005405FE">
        <w:rPr>
          <w:rFonts w:cstheme="minorHAnsi"/>
          <w:sz w:val="24"/>
          <w:szCs w:val="24"/>
        </w:rPr>
        <w:t xml:space="preserve">The ICDR </w:t>
      </w:r>
      <w:r w:rsidRPr="001B48A1">
        <w:rPr>
          <w:rFonts w:cstheme="minorHAnsi"/>
          <w:i/>
          <w:iCs/>
          <w:sz w:val="24"/>
          <w:szCs w:val="24"/>
        </w:rPr>
        <w:t>Health Information Technology (IT)</w:t>
      </w:r>
      <w:r w:rsidR="00CC6248" w:rsidRPr="005405FE">
        <w:rPr>
          <w:rFonts w:cstheme="minorHAnsi"/>
          <w:sz w:val="24"/>
          <w:szCs w:val="24"/>
        </w:rPr>
        <w:t xml:space="preserve"> </w:t>
      </w:r>
      <w:r w:rsidR="004322A4" w:rsidRPr="001B48A1">
        <w:rPr>
          <w:rFonts w:cstheme="minorHAnsi"/>
          <w:i/>
          <w:iCs/>
          <w:sz w:val="24"/>
          <w:szCs w:val="24"/>
        </w:rPr>
        <w:t>T</w:t>
      </w:r>
      <w:r w:rsidR="00CC6248" w:rsidRPr="001B48A1">
        <w:rPr>
          <w:rFonts w:cstheme="minorHAnsi"/>
          <w:i/>
          <w:iCs/>
          <w:sz w:val="24"/>
          <w:szCs w:val="24"/>
        </w:rPr>
        <w:t>oolkit</w:t>
      </w:r>
      <w:r w:rsidRPr="005405FE">
        <w:rPr>
          <w:rFonts w:cstheme="minorHAnsi"/>
          <w:sz w:val="24"/>
          <w:szCs w:val="24"/>
        </w:rPr>
        <w:t xml:space="preserve"> is designed to improve access to health IT </w:t>
      </w:r>
      <w:r w:rsidR="001E7862" w:rsidRPr="005405FE">
        <w:rPr>
          <w:rFonts w:cstheme="minorHAnsi"/>
          <w:sz w:val="24"/>
          <w:szCs w:val="24"/>
        </w:rPr>
        <w:t>for</w:t>
      </w:r>
      <w:r w:rsidRPr="005405FE">
        <w:rPr>
          <w:rFonts w:cstheme="minorHAnsi"/>
          <w:sz w:val="24"/>
          <w:szCs w:val="24"/>
        </w:rPr>
        <w:t xml:space="preserve"> people with disabilities and older adults. The toolkit provides an overview of health IT and usability resources, research, and best practices across federal agencies, grantees, and non-federal organizations. Its purpose is to facilitate additional research and collaboration by federal agencies and departments on this topic and provide recommendations focusing on accessible and usable health IT. Recommended areas of future focus include improving individual access to usable health information</w:t>
      </w:r>
      <w:r w:rsidR="000E7434" w:rsidRPr="005405FE">
        <w:rPr>
          <w:rFonts w:cstheme="minorHAnsi"/>
          <w:sz w:val="24"/>
          <w:szCs w:val="24"/>
        </w:rPr>
        <w:t xml:space="preserve"> and </w:t>
      </w:r>
      <w:r w:rsidRPr="005405FE">
        <w:rPr>
          <w:rFonts w:cstheme="minorHAnsi"/>
          <w:sz w:val="24"/>
          <w:szCs w:val="24"/>
        </w:rPr>
        <w:t>continuing to collect data about the changes in prevalence, burden, and impact of using these technologies, ensuring that users with disabilities, older adults, and caregivers are involved in health IT development and innovation</w:t>
      </w:r>
      <w:r w:rsidR="000E7434" w:rsidRPr="005405FE">
        <w:rPr>
          <w:rFonts w:cstheme="minorHAnsi"/>
          <w:sz w:val="24"/>
          <w:szCs w:val="24"/>
        </w:rPr>
        <w:t xml:space="preserve">. </w:t>
      </w:r>
      <w:r w:rsidR="000E7434" w:rsidRPr="005405FE">
        <w:rPr>
          <w:rFonts w:cstheme="minorHAnsi"/>
          <w:sz w:val="24"/>
          <w:szCs w:val="24"/>
        </w:rPr>
        <w:lastRenderedPageBreak/>
        <w:t>In addition, the toolkit advocates</w:t>
      </w:r>
      <w:r w:rsidRPr="005405FE">
        <w:rPr>
          <w:rFonts w:cstheme="minorHAnsi"/>
          <w:sz w:val="24"/>
          <w:szCs w:val="24"/>
        </w:rPr>
        <w:t xml:space="preserve"> maintaining a focus on incorporating accessibility and usability during product development and increasing the proportion of doctors and hospitals with access to usable health IT. The toolkit is posted on the ICDR website at this link: </w:t>
      </w:r>
      <w:hyperlink r:id="rId16" w:history="1">
        <w:r w:rsidRPr="005405FE">
          <w:rPr>
            <w:rStyle w:val="Hyperlink"/>
            <w:rFonts w:cstheme="minorHAnsi"/>
            <w:sz w:val="24"/>
            <w:szCs w:val="24"/>
          </w:rPr>
          <w:t>https://icdr.acl.gov/system/files/resources/ICDR-HIT%20Toolkit_508.pdf</w:t>
        </w:r>
      </w:hyperlink>
      <w:bookmarkEnd w:id="9"/>
    </w:p>
    <w:p w14:paraId="094FABA6" w14:textId="77777777" w:rsidR="00EA4C54" w:rsidRPr="00EA4C54" w:rsidRDefault="00EA4C54" w:rsidP="00EA4C54">
      <w:pPr>
        <w:pStyle w:val="Heading2"/>
        <w:rPr>
          <w:b/>
          <w:bCs w:val="0"/>
          <w:color w:val="2F5496" w:themeColor="accent1" w:themeShade="BF"/>
        </w:rPr>
      </w:pPr>
      <w:bookmarkStart w:id="10" w:name="_Toc64874724"/>
      <w:bookmarkEnd w:id="4"/>
      <w:bookmarkEnd w:id="5"/>
      <w:bookmarkEnd w:id="6"/>
      <w:bookmarkEnd w:id="7"/>
      <w:r w:rsidRPr="00EA4C54">
        <w:rPr>
          <w:b/>
          <w:bCs w:val="0"/>
          <w:color w:val="2F5496" w:themeColor="accent1" w:themeShade="BF"/>
        </w:rPr>
        <w:t>Employment for Youth and Young Adults with Disabilities: Translating Evidence</w:t>
      </w:r>
    </w:p>
    <w:p w14:paraId="5078A598" w14:textId="6E6319FB" w:rsidR="00EA4C54" w:rsidRDefault="00EA4C54" w:rsidP="001B48A1">
      <w:pPr>
        <w:spacing w:after="0" w:line="240" w:lineRule="auto"/>
        <w:rPr>
          <w:rStyle w:val="Hyperlink"/>
          <w:rFonts w:ascii="Calibri" w:hAnsi="Calibri" w:cstheme="minorHAnsi"/>
          <w:bCs/>
          <w:w w:val="105"/>
          <w:sz w:val="24"/>
          <w:szCs w:val="24"/>
        </w:rPr>
      </w:pPr>
      <w:r>
        <w:rPr>
          <w:rFonts w:cstheme="minorHAnsi"/>
          <w:sz w:val="24"/>
          <w:szCs w:val="24"/>
        </w:rPr>
        <w:t xml:space="preserve">The </w:t>
      </w:r>
      <w:r w:rsidRPr="00EA4C54">
        <w:rPr>
          <w:rFonts w:cstheme="minorHAnsi"/>
          <w:sz w:val="24"/>
          <w:szCs w:val="24"/>
        </w:rPr>
        <w:t xml:space="preserve">ICDR hosted the </w:t>
      </w:r>
      <w:r w:rsidRPr="00EA4C54">
        <w:rPr>
          <w:rFonts w:cstheme="minorHAnsi"/>
          <w:iCs/>
          <w:sz w:val="24"/>
          <w:szCs w:val="24"/>
        </w:rPr>
        <w:t>Employment for Youth and Young Adults with Disabilities</w:t>
      </w:r>
      <w:r w:rsidRPr="00EA4C54">
        <w:rPr>
          <w:rFonts w:cstheme="minorHAnsi"/>
          <w:sz w:val="24"/>
          <w:szCs w:val="24"/>
        </w:rPr>
        <w:t xml:space="preserve"> virtual symposium on July 28, 2021. The symposium presented panels on </w:t>
      </w:r>
      <w:r w:rsidR="004322A4">
        <w:rPr>
          <w:rFonts w:cstheme="minorHAnsi"/>
          <w:sz w:val="24"/>
          <w:szCs w:val="24"/>
        </w:rPr>
        <w:t>v</w:t>
      </w:r>
      <w:r w:rsidRPr="00EA4C54">
        <w:rPr>
          <w:rFonts w:cstheme="minorHAnsi"/>
          <w:sz w:val="24"/>
          <w:szCs w:val="24"/>
        </w:rPr>
        <w:t xml:space="preserve">ocational </w:t>
      </w:r>
      <w:r w:rsidR="004322A4">
        <w:rPr>
          <w:rFonts w:cstheme="minorHAnsi"/>
          <w:sz w:val="24"/>
          <w:szCs w:val="24"/>
        </w:rPr>
        <w:t>r</w:t>
      </w:r>
      <w:r w:rsidRPr="00EA4C54">
        <w:rPr>
          <w:rFonts w:cstheme="minorHAnsi"/>
          <w:sz w:val="24"/>
          <w:szCs w:val="24"/>
        </w:rPr>
        <w:t>ehabilitation</w:t>
      </w:r>
      <w:r w:rsidR="004322A4">
        <w:rPr>
          <w:rFonts w:cstheme="minorHAnsi"/>
          <w:sz w:val="24"/>
          <w:szCs w:val="24"/>
        </w:rPr>
        <w:t xml:space="preserve"> e</w:t>
      </w:r>
      <w:r w:rsidRPr="00EA4C54">
        <w:rPr>
          <w:rFonts w:cstheme="minorHAnsi"/>
          <w:sz w:val="24"/>
          <w:szCs w:val="24"/>
        </w:rPr>
        <w:t xml:space="preserve">vidence and </w:t>
      </w:r>
      <w:r w:rsidR="004322A4">
        <w:rPr>
          <w:rFonts w:cstheme="minorHAnsi"/>
          <w:sz w:val="24"/>
          <w:szCs w:val="24"/>
        </w:rPr>
        <w:t>o</w:t>
      </w:r>
      <w:r w:rsidRPr="00EA4C54">
        <w:rPr>
          <w:rFonts w:cstheme="minorHAnsi"/>
          <w:sz w:val="24"/>
          <w:szCs w:val="24"/>
        </w:rPr>
        <w:t xml:space="preserve">utcomes, </w:t>
      </w:r>
      <w:r w:rsidR="004322A4">
        <w:rPr>
          <w:rFonts w:cstheme="minorHAnsi"/>
          <w:sz w:val="24"/>
          <w:szCs w:val="24"/>
        </w:rPr>
        <w:t>e</w:t>
      </w:r>
      <w:r w:rsidRPr="00EA4C54">
        <w:rPr>
          <w:rFonts w:cstheme="minorHAnsi"/>
          <w:sz w:val="24"/>
          <w:szCs w:val="24"/>
        </w:rPr>
        <w:t xml:space="preserve">arly </w:t>
      </w:r>
      <w:r w:rsidR="004322A4">
        <w:rPr>
          <w:rFonts w:cstheme="minorHAnsi"/>
          <w:sz w:val="24"/>
          <w:szCs w:val="24"/>
        </w:rPr>
        <w:t>w</w:t>
      </w:r>
      <w:r w:rsidRPr="00EA4C54">
        <w:rPr>
          <w:rFonts w:cstheme="minorHAnsi"/>
          <w:sz w:val="24"/>
          <w:szCs w:val="24"/>
        </w:rPr>
        <w:t xml:space="preserve">ork </w:t>
      </w:r>
      <w:r w:rsidR="004322A4">
        <w:rPr>
          <w:rFonts w:cstheme="minorHAnsi"/>
          <w:sz w:val="24"/>
          <w:szCs w:val="24"/>
        </w:rPr>
        <w:t>e</w:t>
      </w:r>
      <w:r w:rsidRPr="00EA4C54">
        <w:rPr>
          <w:rFonts w:cstheme="minorHAnsi"/>
          <w:sz w:val="24"/>
          <w:szCs w:val="24"/>
        </w:rPr>
        <w:t xml:space="preserve">xperiences and </w:t>
      </w:r>
      <w:r w:rsidR="004322A4">
        <w:rPr>
          <w:rFonts w:cstheme="minorHAnsi"/>
          <w:sz w:val="24"/>
          <w:szCs w:val="24"/>
        </w:rPr>
        <w:t>f</w:t>
      </w:r>
      <w:r w:rsidRPr="00EA4C54">
        <w:rPr>
          <w:rFonts w:cstheme="minorHAnsi"/>
          <w:sz w:val="24"/>
          <w:szCs w:val="24"/>
        </w:rPr>
        <w:t xml:space="preserve">uture </w:t>
      </w:r>
      <w:r w:rsidR="004322A4">
        <w:rPr>
          <w:rFonts w:cstheme="minorHAnsi"/>
          <w:sz w:val="24"/>
          <w:szCs w:val="24"/>
        </w:rPr>
        <w:t>e</w:t>
      </w:r>
      <w:r w:rsidRPr="00EA4C54">
        <w:rPr>
          <w:rFonts w:cstheme="minorHAnsi"/>
          <w:sz w:val="24"/>
          <w:szCs w:val="24"/>
        </w:rPr>
        <w:t xml:space="preserve">mployment, </w:t>
      </w:r>
      <w:r w:rsidR="004322A4">
        <w:rPr>
          <w:rFonts w:cstheme="minorHAnsi"/>
          <w:sz w:val="24"/>
          <w:szCs w:val="24"/>
        </w:rPr>
        <w:t>p</w:t>
      </w:r>
      <w:r w:rsidRPr="00EA4C54">
        <w:rPr>
          <w:rFonts w:cstheme="minorHAnsi"/>
          <w:sz w:val="24"/>
          <w:szCs w:val="24"/>
        </w:rPr>
        <w:t xml:space="preserve">ostsecondary </w:t>
      </w:r>
      <w:r w:rsidR="004322A4">
        <w:rPr>
          <w:rFonts w:cstheme="minorHAnsi"/>
          <w:sz w:val="24"/>
          <w:szCs w:val="24"/>
        </w:rPr>
        <w:t>e</w:t>
      </w:r>
      <w:r w:rsidRPr="00EA4C54">
        <w:rPr>
          <w:rFonts w:cstheme="minorHAnsi"/>
          <w:sz w:val="24"/>
          <w:szCs w:val="24"/>
        </w:rPr>
        <w:t xml:space="preserve">ducation and </w:t>
      </w:r>
      <w:r w:rsidR="004322A4">
        <w:rPr>
          <w:rFonts w:cstheme="minorHAnsi"/>
          <w:sz w:val="24"/>
          <w:szCs w:val="24"/>
        </w:rPr>
        <w:t>e</w:t>
      </w:r>
      <w:r w:rsidRPr="00EA4C54">
        <w:rPr>
          <w:rFonts w:cstheme="minorHAnsi"/>
          <w:sz w:val="24"/>
          <w:szCs w:val="24"/>
        </w:rPr>
        <w:t xml:space="preserve">mployment, </w:t>
      </w:r>
      <w:r w:rsidR="004322A4">
        <w:rPr>
          <w:rFonts w:cstheme="minorHAnsi"/>
          <w:sz w:val="24"/>
          <w:szCs w:val="24"/>
        </w:rPr>
        <w:t>f</w:t>
      </w:r>
      <w:r w:rsidRPr="00EA4C54">
        <w:rPr>
          <w:rFonts w:cstheme="minorHAnsi"/>
          <w:sz w:val="24"/>
          <w:szCs w:val="24"/>
        </w:rPr>
        <w:t xml:space="preserve">ederal </w:t>
      </w:r>
      <w:r w:rsidR="004322A4">
        <w:rPr>
          <w:rFonts w:cstheme="minorHAnsi"/>
          <w:sz w:val="24"/>
          <w:szCs w:val="24"/>
        </w:rPr>
        <w:t>e</w:t>
      </w:r>
      <w:r w:rsidRPr="00EA4C54">
        <w:rPr>
          <w:rFonts w:cstheme="minorHAnsi"/>
          <w:sz w:val="24"/>
          <w:szCs w:val="24"/>
        </w:rPr>
        <w:t xml:space="preserve">fforts to </w:t>
      </w:r>
      <w:r w:rsidR="004322A4">
        <w:rPr>
          <w:rFonts w:cstheme="minorHAnsi"/>
          <w:sz w:val="24"/>
          <w:szCs w:val="24"/>
        </w:rPr>
        <w:t>i</w:t>
      </w:r>
      <w:r w:rsidRPr="00EA4C54">
        <w:rPr>
          <w:rFonts w:cstheme="minorHAnsi"/>
          <w:sz w:val="24"/>
          <w:szCs w:val="24"/>
        </w:rPr>
        <w:t xml:space="preserve">mprove </w:t>
      </w:r>
      <w:r w:rsidR="004322A4">
        <w:rPr>
          <w:rFonts w:cstheme="minorHAnsi"/>
          <w:sz w:val="24"/>
          <w:szCs w:val="24"/>
        </w:rPr>
        <w:t>e</w:t>
      </w:r>
      <w:r w:rsidRPr="00EA4C54">
        <w:rPr>
          <w:rFonts w:cstheme="minorHAnsi"/>
          <w:sz w:val="24"/>
          <w:szCs w:val="24"/>
        </w:rPr>
        <w:t xml:space="preserve">mployment </w:t>
      </w:r>
      <w:r w:rsidR="004322A4">
        <w:rPr>
          <w:rFonts w:cstheme="minorHAnsi"/>
          <w:sz w:val="24"/>
          <w:szCs w:val="24"/>
        </w:rPr>
        <w:t>o</w:t>
      </w:r>
      <w:r w:rsidRPr="00EA4C54">
        <w:rPr>
          <w:rFonts w:cstheme="minorHAnsi"/>
          <w:sz w:val="24"/>
          <w:szCs w:val="24"/>
        </w:rPr>
        <w:t xml:space="preserve">utcomes, and </w:t>
      </w:r>
      <w:r w:rsidR="004322A4">
        <w:rPr>
          <w:rFonts w:cstheme="minorHAnsi"/>
          <w:sz w:val="24"/>
          <w:szCs w:val="24"/>
        </w:rPr>
        <w:t>e</w:t>
      </w:r>
      <w:r w:rsidRPr="00EA4C54">
        <w:rPr>
          <w:rFonts w:cstheme="minorHAnsi"/>
          <w:sz w:val="24"/>
          <w:szCs w:val="24"/>
        </w:rPr>
        <w:t xml:space="preserve">mployers and the </w:t>
      </w:r>
      <w:r w:rsidR="004322A4">
        <w:rPr>
          <w:rFonts w:cstheme="minorHAnsi"/>
          <w:sz w:val="24"/>
          <w:szCs w:val="24"/>
        </w:rPr>
        <w:t>f</w:t>
      </w:r>
      <w:r w:rsidRPr="00EA4C54">
        <w:rPr>
          <w:rFonts w:cstheme="minorHAnsi"/>
          <w:sz w:val="24"/>
          <w:szCs w:val="24"/>
        </w:rPr>
        <w:t xml:space="preserve">uture of </w:t>
      </w:r>
      <w:r w:rsidR="004322A4">
        <w:rPr>
          <w:rFonts w:cstheme="minorHAnsi"/>
          <w:sz w:val="24"/>
          <w:szCs w:val="24"/>
        </w:rPr>
        <w:t>w</w:t>
      </w:r>
      <w:r w:rsidRPr="00EA4C54">
        <w:rPr>
          <w:rFonts w:cstheme="minorHAnsi"/>
          <w:sz w:val="24"/>
          <w:szCs w:val="24"/>
        </w:rPr>
        <w:t xml:space="preserve">ork. A summary from the symposium, including panel summaries, questions and answers, and key takeaways, is posted on the ICDR website at this link: </w:t>
      </w:r>
      <w:hyperlink r:id="rId17" w:history="1">
        <w:r w:rsidRPr="00EA4C54">
          <w:rPr>
            <w:rStyle w:val="Hyperlink"/>
            <w:rFonts w:cstheme="minorHAnsi"/>
            <w:sz w:val="24"/>
            <w:szCs w:val="24"/>
          </w:rPr>
          <w:t>https://icdr.acl.gov/system/files/resources/Employment%20Symposium%20Meeting%20Notes-final.docx</w:t>
        </w:r>
      </w:hyperlink>
    </w:p>
    <w:p w14:paraId="57B9D067" w14:textId="77777777" w:rsidR="00604635" w:rsidRPr="00604635" w:rsidRDefault="00604635" w:rsidP="00604635">
      <w:pPr>
        <w:pStyle w:val="Heading2"/>
        <w:rPr>
          <w:b/>
          <w:bCs w:val="0"/>
          <w:color w:val="2F5496" w:themeColor="accent1" w:themeShade="BF"/>
        </w:rPr>
      </w:pPr>
      <w:r w:rsidRPr="00604635">
        <w:rPr>
          <w:b/>
          <w:bCs w:val="0"/>
          <w:color w:val="2F5496" w:themeColor="accent1" w:themeShade="BF"/>
        </w:rPr>
        <w:t>Lunch and Learn Series</w:t>
      </w:r>
    </w:p>
    <w:p w14:paraId="0E7CE540" w14:textId="5B41640A" w:rsidR="00604635" w:rsidRPr="00604635" w:rsidRDefault="00604635" w:rsidP="001B48A1">
      <w:pPr>
        <w:spacing w:after="0" w:line="240" w:lineRule="auto"/>
        <w:rPr>
          <w:rFonts w:cstheme="minorHAnsi"/>
          <w:sz w:val="24"/>
          <w:szCs w:val="24"/>
        </w:rPr>
      </w:pPr>
      <w:r w:rsidRPr="00604635">
        <w:rPr>
          <w:rFonts w:cstheme="minorHAnsi"/>
          <w:sz w:val="24"/>
          <w:szCs w:val="24"/>
        </w:rPr>
        <w:t xml:space="preserve">In FY 2021, the ICDR launched a Lunch and Learn </w:t>
      </w:r>
      <w:r w:rsidR="002B1037">
        <w:rPr>
          <w:rFonts w:cstheme="minorHAnsi"/>
          <w:sz w:val="24"/>
          <w:szCs w:val="24"/>
        </w:rPr>
        <w:t>w</w:t>
      </w:r>
      <w:r w:rsidRPr="00604635">
        <w:rPr>
          <w:rFonts w:cstheme="minorHAnsi"/>
          <w:sz w:val="24"/>
          <w:szCs w:val="24"/>
        </w:rPr>
        <w:t xml:space="preserve">ebinar </w:t>
      </w:r>
      <w:r w:rsidR="002B1037">
        <w:rPr>
          <w:rFonts w:cstheme="minorHAnsi"/>
          <w:sz w:val="24"/>
          <w:szCs w:val="24"/>
        </w:rPr>
        <w:t>s</w:t>
      </w:r>
      <w:r w:rsidRPr="00604635">
        <w:rPr>
          <w:rFonts w:cstheme="minorHAnsi"/>
          <w:sz w:val="24"/>
          <w:szCs w:val="24"/>
        </w:rPr>
        <w:t xml:space="preserve">eries on topics related to disability and rehabilitation research to highlight the work of partners and member agencies. The first session featured a presentation by Dr. Jennifer Stevens-Lapsley on aging and mobility, </w:t>
      </w:r>
      <w:r w:rsidRPr="00604635">
        <w:rPr>
          <w:rFonts w:cstheme="minorHAnsi"/>
          <w:i/>
          <w:iCs/>
          <w:sz w:val="24"/>
          <w:szCs w:val="24"/>
        </w:rPr>
        <w:t>Getting Older is Not for the Weak; An Evidence-Based Approach to Improving Mobility</w:t>
      </w:r>
      <w:r w:rsidRPr="00604635">
        <w:rPr>
          <w:rFonts w:cstheme="minorHAnsi"/>
          <w:sz w:val="24"/>
          <w:szCs w:val="24"/>
        </w:rPr>
        <w:t xml:space="preserve">. The second session </w:t>
      </w:r>
      <w:r w:rsidR="00D55FC9">
        <w:rPr>
          <w:rFonts w:cstheme="minorHAnsi"/>
          <w:sz w:val="24"/>
          <w:szCs w:val="24"/>
        </w:rPr>
        <w:t>saw</w:t>
      </w:r>
      <w:r w:rsidRPr="00604635">
        <w:rPr>
          <w:rFonts w:cstheme="minorHAnsi"/>
          <w:sz w:val="24"/>
          <w:szCs w:val="24"/>
        </w:rPr>
        <w:t xml:space="preserve"> Dr. Susanne </w:t>
      </w:r>
      <w:proofErr w:type="spellStart"/>
      <w:r w:rsidRPr="00604635">
        <w:rPr>
          <w:rFonts w:cstheme="minorHAnsi"/>
          <w:sz w:val="24"/>
          <w:szCs w:val="24"/>
        </w:rPr>
        <w:t>Bruyere</w:t>
      </w:r>
      <w:proofErr w:type="spellEnd"/>
      <w:r w:rsidRPr="00604635">
        <w:rPr>
          <w:rFonts w:cstheme="minorHAnsi"/>
          <w:sz w:val="24"/>
          <w:szCs w:val="24"/>
        </w:rPr>
        <w:t xml:space="preserve"> </w:t>
      </w:r>
      <w:r w:rsidR="00D55FC9" w:rsidRPr="00604635">
        <w:rPr>
          <w:rFonts w:cstheme="minorHAnsi"/>
          <w:sz w:val="24"/>
          <w:szCs w:val="24"/>
        </w:rPr>
        <w:t xml:space="preserve">present </w:t>
      </w:r>
      <w:r w:rsidRPr="00604635">
        <w:rPr>
          <w:rFonts w:cstheme="minorHAnsi"/>
          <w:sz w:val="24"/>
          <w:szCs w:val="24"/>
        </w:rPr>
        <w:t>on the research being conducted by the Yang-Tan Institute on Employment and Disability at Cornell University on workplace disability inclusion. The third session featured a presentation from Dr. Debra Brucker, the Institute on Disability, and Veronica Helms Garrison, U</w:t>
      </w:r>
      <w:r w:rsidR="00D55FC9">
        <w:rPr>
          <w:rFonts w:cstheme="minorHAnsi"/>
          <w:sz w:val="24"/>
          <w:szCs w:val="24"/>
        </w:rPr>
        <w:t>.</w:t>
      </w:r>
      <w:r w:rsidRPr="00604635">
        <w:rPr>
          <w:rFonts w:cstheme="minorHAnsi"/>
          <w:sz w:val="24"/>
          <w:szCs w:val="24"/>
        </w:rPr>
        <w:t>S</w:t>
      </w:r>
      <w:r w:rsidR="00D55FC9">
        <w:rPr>
          <w:rFonts w:cstheme="minorHAnsi"/>
          <w:sz w:val="24"/>
          <w:szCs w:val="24"/>
        </w:rPr>
        <w:t>.</w:t>
      </w:r>
      <w:r w:rsidRPr="00604635">
        <w:rPr>
          <w:rFonts w:cstheme="minorHAnsi"/>
          <w:sz w:val="24"/>
          <w:szCs w:val="24"/>
        </w:rPr>
        <w:t xml:space="preserve"> Department of Housing and Urban Development (HUD), </w:t>
      </w:r>
      <w:r w:rsidR="001B48A1">
        <w:rPr>
          <w:rFonts w:cstheme="minorHAnsi"/>
          <w:sz w:val="24"/>
          <w:szCs w:val="24"/>
        </w:rPr>
        <w:t>titled</w:t>
      </w:r>
      <w:r w:rsidRPr="00604635">
        <w:rPr>
          <w:rFonts w:cstheme="minorHAnsi"/>
          <w:sz w:val="24"/>
          <w:szCs w:val="24"/>
        </w:rPr>
        <w:t xml:space="preserve"> </w:t>
      </w:r>
      <w:r w:rsidRPr="001B48A1">
        <w:rPr>
          <w:rFonts w:eastAsia="Times New Roman" w:cstheme="minorHAnsi"/>
          <w:i/>
          <w:iCs/>
          <w:color w:val="181818"/>
          <w:kern w:val="36"/>
          <w:sz w:val="24"/>
          <w:szCs w:val="24"/>
        </w:rPr>
        <w:t>Using National Health Surveys to Better Understand HUD-Assisted Adults Living with Disabilities</w:t>
      </w:r>
      <w:r w:rsidRPr="00604635">
        <w:rPr>
          <w:rFonts w:eastAsia="Times New Roman" w:cstheme="minorHAnsi"/>
          <w:color w:val="181818"/>
          <w:kern w:val="36"/>
          <w:sz w:val="24"/>
          <w:szCs w:val="24"/>
        </w:rPr>
        <w:t>.</w:t>
      </w:r>
    </w:p>
    <w:p w14:paraId="358FFCDA" w14:textId="01D9D8C2" w:rsidR="00EB0846" w:rsidRPr="005405FE" w:rsidRDefault="00EB0846" w:rsidP="00EB0846">
      <w:pPr>
        <w:pStyle w:val="Heading2"/>
        <w:rPr>
          <w:b/>
          <w:bCs w:val="0"/>
          <w:color w:val="2F5496" w:themeColor="accent1" w:themeShade="BF"/>
        </w:rPr>
      </w:pPr>
      <w:r w:rsidRPr="005405FE">
        <w:rPr>
          <w:b/>
          <w:bCs w:val="0"/>
          <w:color w:val="2F5496" w:themeColor="accent1" w:themeShade="BF"/>
        </w:rPr>
        <w:t>Executive Committee Meetings</w:t>
      </w:r>
      <w:bookmarkEnd w:id="10"/>
    </w:p>
    <w:p w14:paraId="0E4E214D" w14:textId="3AB06297" w:rsidR="00A5526F" w:rsidRPr="005405FE" w:rsidRDefault="00A51163" w:rsidP="001B48A1">
      <w:pPr>
        <w:spacing w:after="0" w:line="240" w:lineRule="auto"/>
        <w:rPr>
          <w:sz w:val="24"/>
          <w:szCs w:val="24"/>
        </w:rPr>
      </w:pPr>
      <w:r w:rsidRPr="005405FE">
        <w:rPr>
          <w:rFonts w:cstheme="minorHAnsi"/>
          <w:sz w:val="24"/>
          <w:szCs w:val="24"/>
        </w:rPr>
        <w:t xml:space="preserve">The EC met virtually in December and March of FY 2021. </w:t>
      </w:r>
      <w:r w:rsidR="00EB0846" w:rsidRPr="005405FE">
        <w:rPr>
          <w:rFonts w:cstheme="minorHAnsi"/>
          <w:sz w:val="24"/>
          <w:szCs w:val="24"/>
        </w:rPr>
        <w:t>At each of these meetings, members shared agency updates</w:t>
      </w:r>
      <w:r w:rsidR="00D8424B">
        <w:rPr>
          <w:rFonts w:cstheme="minorHAnsi"/>
          <w:sz w:val="24"/>
          <w:szCs w:val="24"/>
        </w:rPr>
        <w:t xml:space="preserve"> and</w:t>
      </w:r>
      <w:r w:rsidR="00EB0846" w:rsidRPr="005405FE">
        <w:rPr>
          <w:rFonts w:cstheme="minorHAnsi"/>
          <w:sz w:val="24"/>
          <w:szCs w:val="24"/>
        </w:rPr>
        <w:t xml:space="preserve"> information on upcoming initiatives, activities, and events. Working group chairs shared progress on </w:t>
      </w:r>
      <w:r w:rsidR="00441EC1" w:rsidRPr="005405FE">
        <w:rPr>
          <w:rFonts w:cstheme="minorHAnsi"/>
          <w:sz w:val="24"/>
          <w:szCs w:val="24"/>
        </w:rPr>
        <w:t>implementing</w:t>
      </w:r>
      <w:r w:rsidR="00EB0846" w:rsidRPr="005405FE">
        <w:rPr>
          <w:rFonts w:cstheme="minorHAnsi"/>
          <w:sz w:val="24"/>
          <w:szCs w:val="24"/>
        </w:rPr>
        <w:t xml:space="preserve"> the strategic plan, including the continued development and launch of the GWI.</w:t>
      </w:r>
      <w:r w:rsidR="00EB0846" w:rsidRPr="005405FE">
        <w:rPr>
          <w:sz w:val="24"/>
          <w:szCs w:val="24"/>
        </w:rPr>
        <w:t xml:space="preserve"> The committee continued to work together to identify opportunities for future partnerships and collaboration. The </w:t>
      </w:r>
      <w:r w:rsidR="005E6B8D" w:rsidRPr="005405FE">
        <w:rPr>
          <w:sz w:val="24"/>
          <w:szCs w:val="24"/>
        </w:rPr>
        <w:t>latter</w:t>
      </w:r>
      <w:r w:rsidR="00EB0846" w:rsidRPr="005405FE">
        <w:rPr>
          <w:sz w:val="24"/>
          <w:szCs w:val="24"/>
        </w:rPr>
        <w:t xml:space="preserve"> half of FY 202</w:t>
      </w:r>
      <w:r w:rsidR="005E6B8D" w:rsidRPr="005405FE">
        <w:rPr>
          <w:sz w:val="24"/>
          <w:szCs w:val="24"/>
        </w:rPr>
        <w:t>1</w:t>
      </w:r>
      <w:r w:rsidR="00EB0846" w:rsidRPr="005405FE">
        <w:rPr>
          <w:sz w:val="24"/>
          <w:szCs w:val="24"/>
        </w:rPr>
        <w:t xml:space="preserve"> focused on </w:t>
      </w:r>
      <w:r w:rsidR="005E6B8D" w:rsidRPr="005405FE">
        <w:rPr>
          <w:sz w:val="24"/>
          <w:szCs w:val="24"/>
        </w:rPr>
        <w:t xml:space="preserve">the planning and completion of the June 2021 </w:t>
      </w:r>
      <w:r w:rsidR="00D8424B">
        <w:rPr>
          <w:sz w:val="24"/>
          <w:szCs w:val="24"/>
        </w:rPr>
        <w:t>s</w:t>
      </w:r>
      <w:r w:rsidR="005E6B8D" w:rsidRPr="005405FE">
        <w:rPr>
          <w:sz w:val="24"/>
          <w:szCs w:val="24"/>
        </w:rPr>
        <w:t xml:space="preserve">takeholder </w:t>
      </w:r>
      <w:r w:rsidR="00D8424B">
        <w:rPr>
          <w:sz w:val="24"/>
          <w:szCs w:val="24"/>
        </w:rPr>
        <w:t>m</w:t>
      </w:r>
      <w:r w:rsidR="005E6B8D" w:rsidRPr="005405FE">
        <w:rPr>
          <w:sz w:val="24"/>
          <w:szCs w:val="24"/>
        </w:rPr>
        <w:t>eeting, Lunch and Learn series, and toolkit development</w:t>
      </w:r>
      <w:r w:rsidR="00EB0846" w:rsidRPr="005405FE">
        <w:rPr>
          <w:sz w:val="24"/>
          <w:szCs w:val="24"/>
        </w:rPr>
        <w:t xml:space="preserve">. </w:t>
      </w:r>
      <w:hyperlink r:id="rId18" w:history="1">
        <w:r w:rsidR="00EB0846" w:rsidRPr="005405FE">
          <w:rPr>
            <w:rStyle w:val="Hyperlink"/>
            <w:sz w:val="24"/>
            <w:szCs w:val="24"/>
          </w:rPr>
          <w:t xml:space="preserve">EC </w:t>
        </w:r>
        <w:r w:rsidR="00D8424B">
          <w:rPr>
            <w:rStyle w:val="Hyperlink"/>
            <w:sz w:val="24"/>
            <w:szCs w:val="24"/>
          </w:rPr>
          <w:t>m</w:t>
        </w:r>
        <w:r w:rsidR="00EB0846" w:rsidRPr="005405FE">
          <w:rPr>
            <w:rStyle w:val="Hyperlink"/>
            <w:sz w:val="24"/>
            <w:szCs w:val="24"/>
          </w:rPr>
          <w:t>eeting summaries and any supplemental materials can be found on the EC page on the ICDR website.</w:t>
        </w:r>
      </w:hyperlink>
    </w:p>
    <w:p w14:paraId="211AA295" w14:textId="77777777" w:rsidR="00EA4C54" w:rsidRPr="00604635" w:rsidRDefault="00EA4C54" w:rsidP="00604635">
      <w:pPr>
        <w:pStyle w:val="Heading2"/>
        <w:rPr>
          <w:b/>
          <w:bCs w:val="0"/>
          <w:color w:val="2F5496" w:themeColor="accent1" w:themeShade="BF"/>
        </w:rPr>
      </w:pPr>
      <w:bookmarkStart w:id="11" w:name="_Toc94086340"/>
      <w:r w:rsidRPr="00604635">
        <w:rPr>
          <w:b/>
          <w:bCs w:val="0"/>
          <w:color w:val="2F5496" w:themeColor="accent1" w:themeShade="BF"/>
        </w:rPr>
        <w:t>Stakeholder Meeting</w:t>
      </w:r>
      <w:bookmarkEnd w:id="11"/>
    </w:p>
    <w:p w14:paraId="15DBFC35" w14:textId="66002908" w:rsidR="00EA4C54" w:rsidRDefault="00EA4C54" w:rsidP="009A5DBE">
      <w:pPr>
        <w:spacing w:after="0" w:line="240" w:lineRule="auto"/>
        <w:rPr>
          <w:rFonts w:ascii="Calibri" w:hAnsi="Calibri" w:cs="Calibri"/>
          <w:sz w:val="24"/>
          <w:szCs w:val="24"/>
        </w:rPr>
      </w:pPr>
      <w:r w:rsidRPr="00604635">
        <w:rPr>
          <w:rFonts w:ascii="Calibri" w:hAnsi="Calibri" w:cs="Calibri"/>
          <w:sz w:val="24"/>
          <w:szCs w:val="24"/>
        </w:rPr>
        <w:t>The ICDR held a stakeholder meeting in June 2021 for members, senior NIDILRR leadership, affiliated researchers, and disability advocacy group representatives. Discussions included:</w:t>
      </w:r>
    </w:p>
    <w:p w14:paraId="2F330108" w14:textId="77777777" w:rsidR="009A5DBE" w:rsidRPr="00604635" w:rsidRDefault="009A5DBE" w:rsidP="001B48A1">
      <w:pPr>
        <w:spacing w:after="0" w:line="240" w:lineRule="auto"/>
        <w:rPr>
          <w:rFonts w:ascii="Calibri" w:hAnsi="Calibri" w:cs="Calibri"/>
          <w:sz w:val="24"/>
          <w:szCs w:val="24"/>
        </w:rPr>
      </w:pPr>
    </w:p>
    <w:p w14:paraId="33673B12" w14:textId="77777777" w:rsidR="00EA4C54" w:rsidRPr="00604635" w:rsidRDefault="00EA4C54" w:rsidP="00C36C92">
      <w:pPr>
        <w:pStyle w:val="ListParagraph"/>
        <w:numPr>
          <w:ilvl w:val="0"/>
          <w:numId w:val="31"/>
        </w:numPr>
        <w:spacing w:after="0" w:line="240" w:lineRule="auto"/>
        <w:contextualSpacing w:val="0"/>
        <w:rPr>
          <w:rFonts w:ascii="Calibri" w:hAnsi="Calibri" w:cs="Calibri"/>
          <w:sz w:val="24"/>
          <w:szCs w:val="24"/>
        </w:rPr>
      </w:pPr>
      <w:r w:rsidRPr="00604635">
        <w:rPr>
          <w:rFonts w:ascii="Calibri" w:hAnsi="Calibri" w:cs="Calibri"/>
          <w:sz w:val="24"/>
          <w:szCs w:val="24"/>
        </w:rPr>
        <w:t xml:space="preserve">An overview of the ICDR and the EC; </w:t>
      </w:r>
    </w:p>
    <w:p w14:paraId="1A51F5C3" w14:textId="77777777" w:rsidR="00EA4C54" w:rsidRPr="00604635" w:rsidRDefault="00EA4C54" w:rsidP="00D8424B">
      <w:pPr>
        <w:pStyle w:val="ListParagraph"/>
        <w:numPr>
          <w:ilvl w:val="0"/>
          <w:numId w:val="31"/>
        </w:numPr>
        <w:spacing w:after="0" w:line="240" w:lineRule="auto"/>
        <w:contextualSpacing w:val="0"/>
        <w:rPr>
          <w:rFonts w:ascii="Calibri" w:hAnsi="Calibri" w:cs="Calibri"/>
          <w:sz w:val="24"/>
          <w:szCs w:val="24"/>
        </w:rPr>
      </w:pPr>
      <w:r w:rsidRPr="00604635">
        <w:rPr>
          <w:rFonts w:ascii="Calibri" w:hAnsi="Calibri" w:cs="Calibri"/>
          <w:sz w:val="24"/>
          <w:szCs w:val="24"/>
        </w:rPr>
        <w:lastRenderedPageBreak/>
        <w:t>Community integration and participation;</w:t>
      </w:r>
    </w:p>
    <w:p w14:paraId="554DF39C" w14:textId="77777777" w:rsidR="00EA4C54" w:rsidRPr="00604635" w:rsidRDefault="00EA4C54">
      <w:pPr>
        <w:pStyle w:val="ListParagraph"/>
        <w:numPr>
          <w:ilvl w:val="0"/>
          <w:numId w:val="31"/>
        </w:numPr>
        <w:spacing w:after="0" w:line="240" w:lineRule="auto"/>
        <w:contextualSpacing w:val="0"/>
        <w:rPr>
          <w:rFonts w:ascii="Calibri" w:hAnsi="Calibri" w:cs="Calibri"/>
          <w:sz w:val="24"/>
          <w:szCs w:val="24"/>
        </w:rPr>
      </w:pPr>
      <w:r w:rsidRPr="00604635">
        <w:rPr>
          <w:rFonts w:ascii="Calibri" w:hAnsi="Calibri" w:cs="Calibri"/>
          <w:sz w:val="24"/>
          <w:szCs w:val="24"/>
        </w:rPr>
        <w:t>Employment and education;</w:t>
      </w:r>
    </w:p>
    <w:p w14:paraId="2A87833C" w14:textId="34653BAC" w:rsidR="00EA4C54" w:rsidRPr="00604635" w:rsidRDefault="00EA4C54">
      <w:pPr>
        <w:pStyle w:val="ListParagraph"/>
        <w:numPr>
          <w:ilvl w:val="0"/>
          <w:numId w:val="31"/>
        </w:numPr>
        <w:spacing w:after="0" w:line="240" w:lineRule="auto"/>
        <w:contextualSpacing w:val="0"/>
        <w:rPr>
          <w:rFonts w:ascii="Calibri" w:hAnsi="Calibri" w:cs="Calibri"/>
          <w:sz w:val="24"/>
          <w:szCs w:val="24"/>
        </w:rPr>
      </w:pPr>
      <w:r w:rsidRPr="00604635">
        <w:rPr>
          <w:rFonts w:ascii="Calibri" w:hAnsi="Calibri" w:cs="Calibri"/>
          <w:sz w:val="24"/>
          <w:szCs w:val="24"/>
        </w:rPr>
        <w:t>Health, functioning</w:t>
      </w:r>
      <w:r w:rsidR="00D8424B">
        <w:rPr>
          <w:rFonts w:ascii="Calibri" w:hAnsi="Calibri" w:cs="Calibri"/>
          <w:sz w:val="24"/>
          <w:szCs w:val="24"/>
        </w:rPr>
        <w:t>,</w:t>
      </w:r>
      <w:r w:rsidRPr="00604635">
        <w:rPr>
          <w:rFonts w:ascii="Calibri" w:hAnsi="Calibri" w:cs="Calibri"/>
          <w:sz w:val="24"/>
          <w:szCs w:val="24"/>
        </w:rPr>
        <w:t xml:space="preserve"> and wellness; </w:t>
      </w:r>
      <w:r w:rsidR="009A5DBE">
        <w:rPr>
          <w:rFonts w:ascii="Calibri" w:hAnsi="Calibri" w:cs="Calibri"/>
          <w:sz w:val="24"/>
          <w:szCs w:val="24"/>
        </w:rPr>
        <w:t>and</w:t>
      </w:r>
    </w:p>
    <w:p w14:paraId="2BC26D4A" w14:textId="77777777" w:rsidR="00EA4C54" w:rsidRPr="00604635" w:rsidRDefault="00EA4C54">
      <w:pPr>
        <w:pStyle w:val="ListParagraph"/>
        <w:numPr>
          <w:ilvl w:val="0"/>
          <w:numId w:val="31"/>
        </w:numPr>
        <w:spacing w:after="0" w:line="240" w:lineRule="auto"/>
        <w:contextualSpacing w:val="0"/>
        <w:rPr>
          <w:rFonts w:ascii="Calibri" w:hAnsi="Calibri" w:cs="Calibri"/>
          <w:sz w:val="24"/>
          <w:szCs w:val="24"/>
        </w:rPr>
      </w:pPr>
      <w:r w:rsidRPr="00604635">
        <w:rPr>
          <w:rFonts w:ascii="Calibri" w:hAnsi="Calibri" w:cs="Calibri"/>
          <w:sz w:val="24"/>
          <w:szCs w:val="24"/>
        </w:rPr>
        <w:t>Assistive technology and universal design.</w:t>
      </w:r>
    </w:p>
    <w:p w14:paraId="5CE77737" w14:textId="77777777" w:rsidR="00EA4C54" w:rsidRPr="00FA2012" w:rsidRDefault="00EA4C54" w:rsidP="001B48A1">
      <w:pPr>
        <w:spacing w:after="0" w:line="240" w:lineRule="auto"/>
        <w:rPr>
          <w:rFonts w:ascii="Calibri" w:hAnsi="Calibri" w:cs="Calibri"/>
          <w:sz w:val="24"/>
          <w:szCs w:val="24"/>
        </w:rPr>
      </w:pPr>
    </w:p>
    <w:p w14:paraId="36D54FD3" w14:textId="77777777" w:rsidR="00EA4C54" w:rsidRPr="00FA2012" w:rsidRDefault="00EA4C54" w:rsidP="001B48A1">
      <w:pPr>
        <w:spacing w:after="0" w:line="240" w:lineRule="auto"/>
        <w:rPr>
          <w:rFonts w:ascii="Calibri" w:hAnsi="Calibri" w:cs="Calibri"/>
          <w:sz w:val="24"/>
          <w:szCs w:val="24"/>
        </w:rPr>
      </w:pPr>
      <w:r w:rsidRPr="00FA2012">
        <w:rPr>
          <w:rFonts w:ascii="Calibri" w:hAnsi="Calibri" w:cs="Calibri"/>
          <w:sz w:val="24"/>
          <w:szCs w:val="24"/>
        </w:rPr>
        <w:t xml:space="preserve">A summary report from the stakeholder meeting is posted on the ICDR website at this link: </w:t>
      </w:r>
      <w:hyperlink r:id="rId19" w:history="1">
        <w:r w:rsidRPr="00FA2012">
          <w:rPr>
            <w:rStyle w:val="Hyperlink"/>
            <w:rFonts w:ascii="Calibri" w:hAnsi="Calibri" w:cs="Calibri"/>
            <w:sz w:val="24"/>
            <w:szCs w:val="24"/>
          </w:rPr>
          <w:t>https://icdr.acl.gov/system/files/resources/ICDR%20June%20Stakeholder%20Meeting%20Summary%20Report_Final_8-9-21_508.pdf</w:t>
        </w:r>
      </w:hyperlink>
    </w:p>
    <w:p w14:paraId="14A064B5" w14:textId="77777777" w:rsidR="00D37760" w:rsidRDefault="00D37760" w:rsidP="00AA3632"/>
    <w:sectPr w:rsidR="00D3776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D7FC" w14:textId="77777777" w:rsidR="007A1D3E" w:rsidRDefault="007A1D3E" w:rsidP="009E0153">
      <w:pPr>
        <w:spacing w:after="0" w:line="240" w:lineRule="auto"/>
      </w:pPr>
      <w:r>
        <w:separator/>
      </w:r>
    </w:p>
  </w:endnote>
  <w:endnote w:type="continuationSeparator" w:id="0">
    <w:p w14:paraId="2E89E948" w14:textId="77777777" w:rsidR="007A1D3E" w:rsidRDefault="007A1D3E" w:rsidP="009E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92625"/>
      <w:docPartObj>
        <w:docPartGallery w:val="Page Numbers (Bottom of Page)"/>
        <w:docPartUnique/>
      </w:docPartObj>
    </w:sdtPr>
    <w:sdtEndPr>
      <w:rPr>
        <w:noProof/>
      </w:rPr>
    </w:sdtEndPr>
    <w:sdtContent>
      <w:p w14:paraId="4558F5C5" w14:textId="2FB5D78C" w:rsidR="00B910D9" w:rsidRDefault="00B910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78769" w14:textId="77777777" w:rsidR="00B910D9" w:rsidRDefault="00B91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8A27" w14:textId="77777777" w:rsidR="007A1D3E" w:rsidRDefault="007A1D3E" w:rsidP="009E0153">
      <w:pPr>
        <w:spacing w:after="0" w:line="240" w:lineRule="auto"/>
      </w:pPr>
      <w:r>
        <w:separator/>
      </w:r>
    </w:p>
  </w:footnote>
  <w:footnote w:type="continuationSeparator" w:id="0">
    <w:p w14:paraId="56F77AA4" w14:textId="77777777" w:rsidR="007A1D3E" w:rsidRDefault="007A1D3E" w:rsidP="009E0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436"/>
    <w:multiLevelType w:val="hybridMultilevel"/>
    <w:tmpl w:val="B936C438"/>
    <w:lvl w:ilvl="0" w:tplc="32846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D0173"/>
    <w:multiLevelType w:val="hybridMultilevel"/>
    <w:tmpl w:val="6C5A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1449C"/>
    <w:multiLevelType w:val="hybridMultilevel"/>
    <w:tmpl w:val="1846BD60"/>
    <w:lvl w:ilvl="0" w:tplc="B44E91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AB2505E">
      <w:numFmt w:val="bullet"/>
      <w:lvlText w:val="•"/>
      <w:lvlJc w:val="left"/>
      <w:pPr>
        <w:ind w:left="3240" w:hanging="720"/>
      </w:pPr>
      <w:rPr>
        <w:rFonts w:ascii="Calibri" w:eastAsiaTheme="minorEastAsia"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3D39"/>
    <w:multiLevelType w:val="hybridMultilevel"/>
    <w:tmpl w:val="E9E2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1995"/>
    <w:multiLevelType w:val="multilevel"/>
    <w:tmpl w:val="402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5514C"/>
    <w:multiLevelType w:val="hybridMultilevel"/>
    <w:tmpl w:val="1BB2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A03DC"/>
    <w:multiLevelType w:val="hybridMultilevel"/>
    <w:tmpl w:val="D9AC400C"/>
    <w:lvl w:ilvl="0" w:tplc="04090001">
      <w:start w:val="1"/>
      <w:numFmt w:val="bullet"/>
      <w:lvlText w:val=""/>
      <w:lvlJc w:val="left"/>
      <w:pPr>
        <w:ind w:left="720" w:hanging="360"/>
      </w:pPr>
      <w:rPr>
        <w:rFonts w:ascii="Symbol" w:hAnsi="Symbol" w:hint="default"/>
      </w:rPr>
    </w:lvl>
    <w:lvl w:ilvl="1" w:tplc="63288DD0">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E3A52"/>
    <w:multiLevelType w:val="hybridMultilevel"/>
    <w:tmpl w:val="4A52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D0E66"/>
    <w:multiLevelType w:val="multilevel"/>
    <w:tmpl w:val="322C1EC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3262F8"/>
    <w:multiLevelType w:val="hybridMultilevel"/>
    <w:tmpl w:val="408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24693"/>
    <w:multiLevelType w:val="hybridMultilevel"/>
    <w:tmpl w:val="829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349AD"/>
    <w:multiLevelType w:val="hybridMultilevel"/>
    <w:tmpl w:val="53B6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F41D4"/>
    <w:multiLevelType w:val="hybridMultilevel"/>
    <w:tmpl w:val="6820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9B3C3D"/>
    <w:multiLevelType w:val="hybridMultilevel"/>
    <w:tmpl w:val="73E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A2F2C"/>
    <w:multiLevelType w:val="hybridMultilevel"/>
    <w:tmpl w:val="D450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06745"/>
    <w:multiLevelType w:val="hybridMultilevel"/>
    <w:tmpl w:val="309C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7349F"/>
    <w:multiLevelType w:val="hybridMultilevel"/>
    <w:tmpl w:val="07B03E56"/>
    <w:lvl w:ilvl="0" w:tplc="04090001">
      <w:start w:val="1"/>
      <w:numFmt w:val="bullet"/>
      <w:lvlText w:val=""/>
      <w:lvlJc w:val="left"/>
      <w:pPr>
        <w:ind w:left="360" w:hanging="360"/>
      </w:pPr>
      <w:rPr>
        <w:rFonts w:ascii="Symbol" w:hAnsi="Symbol" w:hint="default"/>
      </w:rPr>
    </w:lvl>
    <w:lvl w:ilvl="1" w:tplc="F7B0B250">
      <w:numFmt w:val="bullet"/>
      <w:lvlText w:val="•"/>
      <w:lvlJc w:val="left"/>
      <w:pPr>
        <w:ind w:left="108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6809DB"/>
    <w:multiLevelType w:val="hybridMultilevel"/>
    <w:tmpl w:val="8C1E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4D4C"/>
    <w:multiLevelType w:val="hybridMultilevel"/>
    <w:tmpl w:val="880A7D54"/>
    <w:lvl w:ilvl="0" w:tplc="04090001">
      <w:start w:val="1"/>
      <w:numFmt w:val="bullet"/>
      <w:lvlText w:val=""/>
      <w:lvlJc w:val="left"/>
      <w:pPr>
        <w:ind w:left="360" w:hanging="360"/>
      </w:pPr>
      <w:rPr>
        <w:rFonts w:ascii="Symbol" w:hAnsi="Symbol" w:hint="default"/>
      </w:rPr>
    </w:lvl>
    <w:lvl w:ilvl="1" w:tplc="87763C26">
      <w:numFmt w:val="bullet"/>
      <w:lvlText w:val="•"/>
      <w:lvlJc w:val="left"/>
      <w:pPr>
        <w:ind w:left="108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65704F"/>
    <w:multiLevelType w:val="hybridMultilevel"/>
    <w:tmpl w:val="5A68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F1AF1"/>
    <w:multiLevelType w:val="multilevel"/>
    <w:tmpl w:val="7E56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87572"/>
    <w:multiLevelType w:val="hybridMultilevel"/>
    <w:tmpl w:val="BC663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926B58"/>
    <w:multiLevelType w:val="hybridMultilevel"/>
    <w:tmpl w:val="B746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61E80"/>
    <w:multiLevelType w:val="hybridMultilevel"/>
    <w:tmpl w:val="B088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40A03"/>
    <w:multiLevelType w:val="hybridMultilevel"/>
    <w:tmpl w:val="7EF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31CDD"/>
    <w:multiLevelType w:val="hybridMultilevel"/>
    <w:tmpl w:val="FC30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D10DD"/>
    <w:multiLevelType w:val="hybridMultilevel"/>
    <w:tmpl w:val="5620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6638D"/>
    <w:multiLevelType w:val="hybridMultilevel"/>
    <w:tmpl w:val="B56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D5D8A"/>
    <w:multiLevelType w:val="hybridMultilevel"/>
    <w:tmpl w:val="9840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3522A"/>
    <w:multiLevelType w:val="hybridMultilevel"/>
    <w:tmpl w:val="0BEA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3564D"/>
    <w:multiLevelType w:val="hybridMultilevel"/>
    <w:tmpl w:val="127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A5FCD"/>
    <w:multiLevelType w:val="hybridMultilevel"/>
    <w:tmpl w:val="3736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C402B"/>
    <w:multiLevelType w:val="hybridMultilevel"/>
    <w:tmpl w:val="F0463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9648786">
    <w:abstractNumId w:val="12"/>
  </w:num>
  <w:num w:numId="2" w16cid:durableId="1836722350">
    <w:abstractNumId w:val="18"/>
  </w:num>
  <w:num w:numId="3" w16cid:durableId="916086853">
    <w:abstractNumId w:val="3"/>
  </w:num>
  <w:num w:numId="4" w16cid:durableId="88935835">
    <w:abstractNumId w:val="20"/>
  </w:num>
  <w:num w:numId="5" w16cid:durableId="1558736500">
    <w:abstractNumId w:val="32"/>
  </w:num>
  <w:num w:numId="6" w16cid:durableId="135874527">
    <w:abstractNumId w:val="11"/>
  </w:num>
  <w:num w:numId="7" w16cid:durableId="1197429408">
    <w:abstractNumId w:val="17"/>
  </w:num>
  <w:num w:numId="8" w16cid:durableId="790511650">
    <w:abstractNumId w:val="6"/>
  </w:num>
  <w:num w:numId="9" w16cid:durableId="1682971251">
    <w:abstractNumId w:val="22"/>
  </w:num>
  <w:num w:numId="10" w16cid:durableId="1592426028">
    <w:abstractNumId w:val="29"/>
  </w:num>
  <w:num w:numId="11" w16cid:durableId="1169520509">
    <w:abstractNumId w:val="7"/>
  </w:num>
  <w:num w:numId="12" w16cid:durableId="820197580">
    <w:abstractNumId w:val="10"/>
  </w:num>
  <w:num w:numId="13" w16cid:durableId="570114121">
    <w:abstractNumId w:val="27"/>
  </w:num>
  <w:num w:numId="14" w16cid:durableId="647976232">
    <w:abstractNumId w:val="0"/>
  </w:num>
  <w:num w:numId="15" w16cid:durableId="701788385">
    <w:abstractNumId w:val="16"/>
  </w:num>
  <w:num w:numId="16" w16cid:durableId="41751895">
    <w:abstractNumId w:val="28"/>
  </w:num>
  <w:num w:numId="17" w16cid:durableId="1730567927">
    <w:abstractNumId w:val="8"/>
  </w:num>
  <w:num w:numId="18" w16cid:durableId="11957616">
    <w:abstractNumId w:val="25"/>
  </w:num>
  <w:num w:numId="19" w16cid:durableId="637615348">
    <w:abstractNumId w:val="30"/>
  </w:num>
  <w:num w:numId="20" w16cid:durableId="1638687106">
    <w:abstractNumId w:val="9"/>
  </w:num>
  <w:num w:numId="21" w16cid:durableId="1058287616">
    <w:abstractNumId w:val="21"/>
  </w:num>
  <w:num w:numId="22" w16cid:durableId="418672847">
    <w:abstractNumId w:val="26"/>
  </w:num>
  <w:num w:numId="23" w16cid:durableId="1053039462">
    <w:abstractNumId w:val="4"/>
  </w:num>
  <w:num w:numId="24" w16cid:durableId="298614404">
    <w:abstractNumId w:val="2"/>
  </w:num>
  <w:num w:numId="25" w16cid:durableId="1267612845">
    <w:abstractNumId w:val="1"/>
  </w:num>
  <w:num w:numId="26" w16cid:durableId="988241895">
    <w:abstractNumId w:val="13"/>
  </w:num>
  <w:num w:numId="27" w16cid:durableId="1408726598">
    <w:abstractNumId w:val="31"/>
  </w:num>
  <w:num w:numId="28" w16cid:durableId="934944157">
    <w:abstractNumId w:val="19"/>
  </w:num>
  <w:num w:numId="29" w16cid:durableId="607812316">
    <w:abstractNumId w:val="24"/>
  </w:num>
  <w:num w:numId="30" w16cid:durableId="1353728393">
    <w:abstractNumId w:val="5"/>
  </w:num>
  <w:num w:numId="31" w16cid:durableId="1058289153">
    <w:abstractNumId w:val="14"/>
  </w:num>
  <w:num w:numId="32" w16cid:durableId="1093865291">
    <w:abstractNumId w:val="15"/>
  </w:num>
  <w:num w:numId="33" w16cid:durableId="7001344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NzM1MDSyNDE0NjBS0lEKTi0uzszPAykwrwUA9Wr44CwAAAA="/>
  </w:docVars>
  <w:rsids>
    <w:rsidRoot w:val="00D52A8D"/>
    <w:rsid w:val="00023723"/>
    <w:rsid w:val="0002480A"/>
    <w:rsid w:val="0004718D"/>
    <w:rsid w:val="00057253"/>
    <w:rsid w:val="000603C1"/>
    <w:rsid w:val="00091E27"/>
    <w:rsid w:val="00093206"/>
    <w:rsid w:val="000B325F"/>
    <w:rsid w:val="000C14E0"/>
    <w:rsid w:val="000C3EC4"/>
    <w:rsid w:val="000E7434"/>
    <w:rsid w:val="00111B31"/>
    <w:rsid w:val="00131FBE"/>
    <w:rsid w:val="00132BBE"/>
    <w:rsid w:val="00136ECD"/>
    <w:rsid w:val="001430AB"/>
    <w:rsid w:val="00155265"/>
    <w:rsid w:val="001940F5"/>
    <w:rsid w:val="001A27DA"/>
    <w:rsid w:val="001B452B"/>
    <w:rsid w:val="001B48A1"/>
    <w:rsid w:val="001B5089"/>
    <w:rsid w:val="001B5311"/>
    <w:rsid w:val="001C1B56"/>
    <w:rsid w:val="001E7862"/>
    <w:rsid w:val="002342A4"/>
    <w:rsid w:val="00242E92"/>
    <w:rsid w:val="00265858"/>
    <w:rsid w:val="00277945"/>
    <w:rsid w:val="00291DED"/>
    <w:rsid w:val="002967BD"/>
    <w:rsid w:val="002B1037"/>
    <w:rsid w:val="002B71E1"/>
    <w:rsid w:val="002C104A"/>
    <w:rsid w:val="002F2AE4"/>
    <w:rsid w:val="002F34C4"/>
    <w:rsid w:val="0030678E"/>
    <w:rsid w:val="00313713"/>
    <w:rsid w:val="00366E38"/>
    <w:rsid w:val="00372C60"/>
    <w:rsid w:val="003734A2"/>
    <w:rsid w:val="0039115A"/>
    <w:rsid w:val="003A7152"/>
    <w:rsid w:val="003E7E70"/>
    <w:rsid w:val="003F1B83"/>
    <w:rsid w:val="00431D5A"/>
    <w:rsid w:val="004322A4"/>
    <w:rsid w:val="0044152F"/>
    <w:rsid w:val="00441EC1"/>
    <w:rsid w:val="004520B0"/>
    <w:rsid w:val="00465767"/>
    <w:rsid w:val="004805BE"/>
    <w:rsid w:val="004816E7"/>
    <w:rsid w:val="00495989"/>
    <w:rsid w:val="004A2468"/>
    <w:rsid w:val="004A7383"/>
    <w:rsid w:val="004B0247"/>
    <w:rsid w:val="004C5842"/>
    <w:rsid w:val="004C64FD"/>
    <w:rsid w:val="004D31AB"/>
    <w:rsid w:val="004E5E4B"/>
    <w:rsid w:val="004E653A"/>
    <w:rsid w:val="004F1C10"/>
    <w:rsid w:val="005051AF"/>
    <w:rsid w:val="005405FE"/>
    <w:rsid w:val="005470CC"/>
    <w:rsid w:val="005531A9"/>
    <w:rsid w:val="00566FCB"/>
    <w:rsid w:val="00584C44"/>
    <w:rsid w:val="00594380"/>
    <w:rsid w:val="0059595A"/>
    <w:rsid w:val="005D6E54"/>
    <w:rsid w:val="005E6B8D"/>
    <w:rsid w:val="005F645C"/>
    <w:rsid w:val="00604635"/>
    <w:rsid w:val="00623C4E"/>
    <w:rsid w:val="00624E00"/>
    <w:rsid w:val="00626CFC"/>
    <w:rsid w:val="00636382"/>
    <w:rsid w:val="0064334E"/>
    <w:rsid w:val="00662D59"/>
    <w:rsid w:val="0067495B"/>
    <w:rsid w:val="006752A8"/>
    <w:rsid w:val="006757B7"/>
    <w:rsid w:val="00691D96"/>
    <w:rsid w:val="006E1676"/>
    <w:rsid w:val="006E2E81"/>
    <w:rsid w:val="006E5DD4"/>
    <w:rsid w:val="006E7AAA"/>
    <w:rsid w:val="006F211A"/>
    <w:rsid w:val="006F2BA3"/>
    <w:rsid w:val="0073285D"/>
    <w:rsid w:val="007374E4"/>
    <w:rsid w:val="0075678F"/>
    <w:rsid w:val="0076255C"/>
    <w:rsid w:val="0078379B"/>
    <w:rsid w:val="007853C0"/>
    <w:rsid w:val="0079591D"/>
    <w:rsid w:val="007A1D3E"/>
    <w:rsid w:val="007A675F"/>
    <w:rsid w:val="007C1A6D"/>
    <w:rsid w:val="007C2F83"/>
    <w:rsid w:val="007E22FC"/>
    <w:rsid w:val="007F0592"/>
    <w:rsid w:val="008000BC"/>
    <w:rsid w:val="00854C49"/>
    <w:rsid w:val="008756B5"/>
    <w:rsid w:val="008B0F6A"/>
    <w:rsid w:val="008B17C4"/>
    <w:rsid w:val="00907790"/>
    <w:rsid w:val="009312B5"/>
    <w:rsid w:val="00964026"/>
    <w:rsid w:val="00975877"/>
    <w:rsid w:val="009A5DBE"/>
    <w:rsid w:val="009B7A75"/>
    <w:rsid w:val="009C35D3"/>
    <w:rsid w:val="009D692B"/>
    <w:rsid w:val="009E0153"/>
    <w:rsid w:val="009E3DDA"/>
    <w:rsid w:val="00A06D5D"/>
    <w:rsid w:val="00A24433"/>
    <w:rsid w:val="00A51163"/>
    <w:rsid w:val="00A5526F"/>
    <w:rsid w:val="00A556E7"/>
    <w:rsid w:val="00A606B9"/>
    <w:rsid w:val="00A945DF"/>
    <w:rsid w:val="00AA3632"/>
    <w:rsid w:val="00AB2C49"/>
    <w:rsid w:val="00AD3122"/>
    <w:rsid w:val="00AE47FB"/>
    <w:rsid w:val="00AF289A"/>
    <w:rsid w:val="00AF681F"/>
    <w:rsid w:val="00B072ED"/>
    <w:rsid w:val="00B30DC5"/>
    <w:rsid w:val="00B50D9A"/>
    <w:rsid w:val="00B610CB"/>
    <w:rsid w:val="00B64064"/>
    <w:rsid w:val="00B70463"/>
    <w:rsid w:val="00B710AA"/>
    <w:rsid w:val="00B761C0"/>
    <w:rsid w:val="00B910D9"/>
    <w:rsid w:val="00BA51E9"/>
    <w:rsid w:val="00BA7819"/>
    <w:rsid w:val="00BC7F9D"/>
    <w:rsid w:val="00BD15C3"/>
    <w:rsid w:val="00BE213B"/>
    <w:rsid w:val="00BE21C8"/>
    <w:rsid w:val="00BE7BB0"/>
    <w:rsid w:val="00C20FD1"/>
    <w:rsid w:val="00C22F10"/>
    <w:rsid w:val="00C25DE2"/>
    <w:rsid w:val="00C36C92"/>
    <w:rsid w:val="00C4759C"/>
    <w:rsid w:val="00C74AA5"/>
    <w:rsid w:val="00C84F23"/>
    <w:rsid w:val="00CB2908"/>
    <w:rsid w:val="00CB728F"/>
    <w:rsid w:val="00CC6248"/>
    <w:rsid w:val="00CC64BB"/>
    <w:rsid w:val="00D14738"/>
    <w:rsid w:val="00D151AC"/>
    <w:rsid w:val="00D34CC4"/>
    <w:rsid w:val="00D37760"/>
    <w:rsid w:val="00D52A8D"/>
    <w:rsid w:val="00D557C1"/>
    <w:rsid w:val="00D55FC9"/>
    <w:rsid w:val="00D66769"/>
    <w:rsid w:val="00D67310"/>
    <w:rsid w:val="00D71291"/>
    <w:rsid w:val="00D8424B"/>
    <w:rsid w:val="00D97EEC"/>
    <w:rsid w:val="00DB3378"/>
    <w:rsid w:val="00DE21AB"/>
    <w:rsid w:val="00E369DB"/>
    <w:rsid w:val="00E504A1"/>
    <w:rsid w:val="00E81DF4"/>
    <w:rsid w:val="00E94904"/>
    <w:rsid w:val="00EA4C54"/>
    <w:rsid w:val="00EB0846"/>
    <w:rsid w:val="00EB4492"/>
    <w:rsid w:val="00EC2E85"/>
    <w:rsid w:val="00ED1C2F"/>
    <w:rsid w:val="00EF5A73"/>
    <w:rsid w:val="00F020FF"/>
    <w:rsid w:val="00F405D6"/>
    <w:rsid w:val="00F44E2D"/>
    <w:rsid w:val="00F47992"/>
    <w:rsid w:val="00F574F1"/>
    <w:rsid w:val="00F77AE3"/>
    <w:rsid w:val="00FA2012"/>
    <w:rsid w:val="00FB35FB"/>
    <w:rsid w:val="00FD10B8"/>
    <w:rsid w:val="00FE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141D"/>
  <w15:chartTrackingRefBased/>
  <w15:docId w15:val="{EFD11045-4A2D-4083-90BE-ABC072DE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C49"/>
  </w:style>
  <w:style w:type="paragraph" w:styleId="Heading1">
    <w:name w:val="heading 1"/>
    <w:basedOn w:val="Normal"/>
    <w:next w:val="Normal"/>
    <w:link w:val="Heading1Char"/>
    <w:uiPriority w:val="9"/>
    <w:qFormat/>
    <w:rsid w:val="002C104A"/>
    <w:pPr>
      <w:keepNext/>
      <w:keepLines/>
      <w:pBdr>
        <w:bottom w:val="single" w:sz="4" w:space="1" w:color="auto"/>
      </w:pBdr>
      <w:spacing w:before="240" w:after="120"/>
      <w:outlineLvl w:val="0"/>
    </w:pPr>
    <w:rPr>
      <w:rFonts w:ascii="Calibri Light" w:eastAsia="Times New Roman" w:hAnsi="Calibri Light" w:cs="Times New Roman"/>
      <w:bCs/>
      <w:color w:val="1F3864"/>
      <w:w w:val="115"/>
      <w:sz w:val="32"/>
      <w:szCs w:val="28"/>
    </w:rPr>
  </w:style>
  <w:style w:type="paragraph" w:styleId="Heading2">
    <w:name w:val="heading 2"/>
    <w:basedOn w:val="Normal"/>
    <w:next w:val="Normal"/>
    <w:link w:val="Heading2Char"/>
    <w:uiPriority w:val="9"/>
    <w:unhideWhenUsed/>
    <w:qFormat/>
    <w:rsid w:val="002C104A"/>
    <w:pPr>
      <w:keepNext/>
      <w:keepLines/>
      <w:spacing w:before="120" w:after="120"/>
      <w:outlineLvl w:val="1"/>
    </w:pPr>
    <w:rPr>
      <w:rFonts w:ascii="Calibri" w:eastAsia="Times New Roman" w:hAnsi="Calibri" w:cs="Times New Roman"/>
      <w:bCs/>
      <w:color w:val="525252"/>
      <w:w w:val="105"/>
      <w:sz w:val="28"/>
      <w:szCs w:val="26"/>
    </w:rPr>
  </w:style>
  <w:style w:type="paragraph" w:styleId="Heading3">
    <w:name w:val="heading 3"/>
    <w:basedOn w:val="Normal"/>
    <w:next w:val="Normal"/>
    <w:link w:val="Heading3Char"/>
    <w:uiPriority w:val="9"/>
    <w:unhideWhenUsed/>
    <w:qFormat/>
    <w:rsid w:val="004E653A"/>
    <w:pPr>
      <w:keepNext/>
      <w:keepLines/>
      <w:spacing w:before="200" w:after="0"/>
      <w:outlineLvl w:val="2"/>
    </w:pPr>
    <w:rPr>
      <w:rFonts w:asciiTheme="majorHAnsi" w:eastAsiaTheme="majorEastAsia" w:hAnsiTheme="majorHAnsi" w:cstheme="majorBidi"/>
      <w:b/>
      <w:bCs/>
      <w:color w:val="4472C4" w:themeColor="accent1"/>
      <w:sz w:val="24"/>
    </w:rPr>
  </w:style>
  <w:style w:type="paragraph" w:styleId="Heading4">
    <w:name w:val="heading 4"/>
    <w:basedOn w:val="Normal"/>
    <w:next w:val="Normal"/>
    <w:link w:val="Heading4Char"/>
    <w:uiPriority w:val="9"/>
    <w:semiHidden/>
    <w:unhideWhenUsed/>
    <w:qFormat/>
    <w:rsid w:val="00854C4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54C4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54C4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54C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C4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854C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04A"/>
    <w:rPr>
      <w:rFonts w:ascii="Calibri Light" w:eastAsia="Times New Roman" w:hAnsi="Calibri Light" w:cs="Times New Roman"/>
      <w:bCs/>
      <w:color w:val="1F3864"/>
      <w:w w:val="115"/>
      <w:sz w:val="32"/>
      <w:szCs w:val="28"/>
    </w:rPr>
  </w:style>
  <w:style w:type="character" w:customStyle="1" w:styleId="Heading2Char">
    <w:name w:val="Heading 2 Char"/>
    <w:basedOn w:val="DefaultParagraphFont"/>
    <w:link w:val="Heading2"/>
    <w:uiPriority w:val="9"/>
    <w:rsid w:val="002C104A"/>
    <w:rPr>
      <w:rFonts w:ascii="Calibri" w:eastAsia="Times New Roman" w:hAnsi="Calibri" w:cs="Times New Roman"/>
      <w:bCs/>
      <w:color w:val="525252"/>
      <w:w w:val="105"/>
      <w:sz w:val="28"/>
      <w:szCs w:val="26"/>
    </w:rPr>
  </w:style>
  <w:style w:type="character" w:customStyle="1" w:styleId="Heading3Char">
    <w:name w:val="Heading 3 Char"/>
    <w:basedOn w:val="DefaultParagraphFont"/>
    <w:link w:val="Heading3"/>
    <w:uiPriority w:val="9"/>
    <w:rsid w:val="004E653A"/>
    <w:rPr>
      <w:rFonts w:asciiTheme="majorHAnsi" w:eastAsiaTheme="majorEastAsia" w:hAnsiTheme="majorHAnsi" w:cstheme="majorBidi"/>
      <w:b/>
      <w:bCs/>
      <w:color w:val="4472C4" w:themeColor="accent1"/>
      <w:sz w:val="24"/>
    </w:rPr>
  </w:style>
  <w:style w:type="character" w:customStyle="1" w:styleId="Heading4Char">
    <w:name w:val="Heading 4 Char"/>
    <w:basedOn w:val="DefaultParagraphFont"/>
    <w:link w:val="Heading4"/>
    <w:uiPriority w:val="9"/>
    <w:semiHidden/>
    <w:rsid w:val="00854C4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54C4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54C4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54C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C4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854C4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54C49"/>
    <w:pPr>
      <w:spacing w:line="240" w:lineRule="auto"/>
    </w:pPr>
    <w:rPr>
      <w:b/>
      <w:bCs/>
      <w:color w:val="4472C4" w:themeColor="accent1"/>
      <w:sz w:val="18"/>
      <w:szCs w:val="18"/>
    </w:rPr>
  </w:style>
  <w:style w:type="paragraph" w:styleId="Title">
    <w:name w:val="Title"/>
    <w:basedOn w:val="Normal"/>
    <w:next w:val="Normal"/>
    <w:link w:val="TitleChar"/>
    <w:uiPriority w:val="10"/>
    <w:qFormat/>
    <w:rsid w:val="00313713"/>
    <w:pPr>
      <w:pBdr>
        <w:bottom w:val="single" w:sz="8" w:space="4" w:color="4472C4" w:themeColor="accent1"/>
      </w:pBdr>
      <w:spacing w:after="300" w:line="240" w:lineRule="auto"/>
      <w:contextualSpacing/>
    </w:pPr>
    <w:rPr>
      <w:rFonts w:ascii="Times New Roman" w:eastAsiaTheme="majorEastAsia" w:hAnsi="Times New Roman" w:cs="Times New Roman"/>
      <w:b/>
      <w:bCs/>
      <w:color w:val="323E4F" w:themeColor="text2" w:themeShade="BF"/>
      <w:spacing w:val="5"/>
      <w:sz w:val="56"/>
      <w:szCs w:val="56"/>
    </w:rPr>
  </w:style>
  <w:style w:type="character" w:customStyle="1" w:styleId="TitleChar">
    <w:name w:val="Title Char"/>
    <w:basedOn w:val="DefaultParagraphFont"/>
    <w:link w:val="Title"/>
    <w:uiPriority w:val="10"/>
    <w:rsid w:val="00313713"/>
    <w:rPr>
      <w:rFonts w:ascii="Times New Roman" w:eastAsiaTheme="majorEastAsia" w:hAnsi="Times New Roman" w:cs="Times New Roman"/>
      <w:b/>
      <w:bCs/>
      <w:color w:val="323E4F" w:themeColor="text2" w:themeShade="BF"/>
      <w:spacing w:val="5"/>
      <w:sz w:val="56"/>
      <w:szCs w:val="56"/>
    </w:rPr>
  </w:style>
  <w:style w:type="paragraph" w:styleId="Subtitle">
    <w:name w:val="Subtitle"/>
    <w:basedOn w:val="Normal"/>
    <w:next w:val="Normal"/>
    <w:link w:val="SubtitleChar"/>
    <w:uiPriority w:val="11"/>
    <w:qFormat/>
    <w:rsid w:val="00313713"/>
    <w:pPr>
      <w:numPr>
        <w:ilvl w:val="1"/>
      </w:numPr>
    </w:pPr>
    <w:rPr>
      <w:rFonts w:ascii="Times New Roman" w:eastAsiaTheme="majorEastAsia" w:hAnsi="Times New Roman" w:cs="Times New Roman"/>
      <w:b/>
      <w:bCs/>
      <w:color w:val="000000" w:themeColor="text1"/>
      <w:spacing w:val="15"/>
      <w:sz w:val="36"/>
      <w:szCs w:val="36"/>
    </w:rPr>
  </w:style>
  <w:style w:type="character" w:customStyle="1" w:styleId="SubtitleChar">
    <w:name w:val="Subtitle Char"/>
    <w:basedOn w:val="DefaultParagraphFont"/>
    <w:link w:val="Subtitle"/>
    <w:uiPriority w:val="11"/>
    <w:rsid w:val="00313713"/>
    <w:rPr>
      <w:rFonts w:ascii="Times New Roman" w:eastAsiaTheme="majorEastAsia" w:hAnsi="Times New Roman" w:cs="Times New Roman"/>
      <w:b/>
      <w:bCs/>
      <w:color w:val="000000" w:themeColor="text1"/>
      <w:spacing w:val="15"/>
      <w:sz w:val="36"/>
      <w:szCs w:val="36"/>
    </w:rPr>
  </w:style>
  <w:style w:type="character" w:styleId="Strong">
    <w:name w:val="Strong"/>
    <w:basedOn w:val="DefaultParagraphFont"/>
    <w:uiPriority w:val="22"/>
    <w:qFormat/>
    <w:rsid w:val="00854C49"/>
    <w:rPr>
      <w:b/>
      <w:bCs/>
    </w:rPr>
  </w:style>
  <w:style w:type="character" w:styleId="Emphasis">
    <w:name w:val="Emphasis"/>
    <w:basedOn w:val="DefaultParagraphFont"/>
    <w:uiPriority w:val="20"/>
    <w:qFormat/>
    <w:rsid w:val="00854C49"/>
    <w:rPr>
      <w:i/>
      <w:iCs/>
    </w:rPr>
  </w:style>
  <w:style w:type="paragraph" w:styleId="NoSpacing">
    <w:name w:val="No Spacing"/>
    <w:link w:val="NoSpacingChar"/>
    <w:uiPriority w:val="1"/>
    <w:qFormat/>
    <w:rsid w:val="00854C49"/>
    <w:pPr>
      <w:spacing w:after="0" w:line="240" w:lineRule="auto"/>
    </w:pPr>
  </w:style>
  <w:style w:type="paragraph" w:styleId="Quote">
    <w:name w:val="Quote"/>
    <w:basedOn w:val="Normal"/>
    <w:next w:val="Normal"/>
    <w:link w:val="QuoteChar"/>
    <w:uiPriority w:val="29"/>
    <w:qFormat/>
    <w:rsid w:val="00854C49"/>
    <w:rPr>
      <w:i/>
      <w:iCs/>
      <w:color w:val="000000" w:themeColor="text1"/>
    </w:rPr>
  </w:style>
  <w:style w:type="character" w:customStyle="1" w:styleId="QuoteChar">
    <w:name w:val="Quote Char"/>
    <w:basedOn w:val="DefaultParagraphFont"/>
    <w:link w:val="Quote"/>
    <w:uiPriority w:val="29"/>
    <w:rsid w:val="00854C49"/>
    <w:rPr>
      <w:i/>
      <w:iCs/>
      <w:color w:val="000000" w:themeColor="text1"/>
    </w:rPr>
  </w:style>
  <w:style w:type="paragraph" w:styleId="IntenseQuote">
    <w:name w:val="Intense Quote"/>
    <w:basedOn w:val="Normal"/>
    <w:next w:val="Normal"/>
    <w:link w:val="IntenseQuoteChar"/>
    <w:uiPriority w:val="30"/>
    <w:qFormat/>
    <w:rsid w:val="00854C4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54C49"/>
    <w:rPr>
      <w:b/>
      <w:bCs/>
      <w:i/>
      <w:iCs/>
      <w:color w:val="4472C4" w:themeColor="accent1"/>
    </w:rPr>
  </w:style>
  <w:style w:type="character" w:styleId="SubtleEmphasis">
    <w:name w:val="Subtle Emphasis"/>
    <w:basedOn w:val="DefaultParagraphFont"/>
    <w:uiPriority w:val="19"/>
    <w:qFormat/>
    <w:rsid w:val="00854C49"/>
    <w:rPr>
      <w:i/>
      <w:iCs/>
      <w:color w:val="808080" w:themeColor="text1" w:themeTint="7F"/>
    </w:rPr>
  </w:style>
  <w:style w:type="character" w:styleId="IntenseEmphasis">
    <w:name w:val="Intense Emphasis"/>
    <w:basedOn w:val="DefaultParagraphFont"/>
    <w:uiPriority w:val="21"/>
    <w:qFormat/>
    <w:rsid w:val="00854C49"/>
    <w:rPr>
      <w:b/>
      <w:bCs/>
      <w:i/>
      <w:iCs/>
      <w:color w:val="4472C4" w:themeColor="accent1"/>
    </w:rPr>
  </w:style>
  <w:style w:type="character" w:styleId="SubtleReference">
    <w:name w:val="Subtle Reference"/>
    <w:basedOn w:val="DefaultParagraphFont"/>
    <w:uiPriority w:val="31"/>
    <w:qFormat/>
    <w:rsid w:val="00854C49"/>
    <w:rPr>
      <w:smallCaps/>
      <w:color w:val="ED7D31" w:themeColor="accent2"/>
      <w:u w:val="single"/>
    </w:rPr>
  </w:style>
  <w:style w:type="character" w:styleId="IntenseReference">
    <w:name w:val="Intense Reference"/>
    <w:basedOn w:val="DefaultParagraphFont"/>
    <w:uiPriority w:val="32"/>
    <w:qFormat/>
    <w:rsid w:val="00854C49"/>
    <w:rPr>
      <w:b/>
      <w:bCs/>
      <w:smallCaps/>
      <w:color w:val="ED7D31" w:themeColor="accent2"/>
      <w:spacing w:val="5"/>
      <w:u w:val="single"/>
    </w:rPr>
  </w:style>
  <w:style w:type="character" w:styleId="BookTitle">
    <w:name w:val="Book Title"/>
    <w:basedOn w:val="DefaultParagraphFont"/>
    <w:uiPriority w:val="33"/>
    <w:qFormat/>
    <w:rsid w:val="00854C49"/>
    <w:rPr>
      <w:b/>
      <w:bCs/>
      <w:smallCaps/>
      <w:spacing w:val="5"/>
    </w:rPr>
  </w:style>
  <w:style w:type="paragraph" w:styleId="TOCHeading">
    <w:name w:val="TOC Heading"/>
    <w:basedOn w:val="Heading1"/>
    <w:next w:val="Normal"/>
    <w:uiPriority w:val="39"/>
    <w:unhideWhenUsed/>
    <w:qFormat/>
    <w:rsid w:val="00854C49"/>
    <w:pPr>
      <w:outlineLvl w:val="9"/>
    </w:pPr>
  </w:style>
  <w:style w:type="paragraph" w:styleId="ListParagraph">
    <w:name w:val="List Paragraph"/>
    <w:basedOn w:val="Normal"/>
    <w:link w:val="ListParagraphChar"/>
    <w:uiPriority w:val="34"/>
    <w:qFormat/>
    <w:rsid w:val="00C22F10"/>
    <w:pPr>
      <w:ind w:left="720"/>
      <w:contextualSpacing/>
    </w:pPr>
  </w:style>
  <w:style w:type="character" w:styleId="CommentReference">
    <w:name w:val="annotation reference"/>
    <w:basedOn w:val="DefaultParagraphFont"/>
    <w:uiPriority w:val="99"/>
    <w:unhideWhenUsed/>
    <w:rsid w:val="000C14E0"/>
    <w:rPr>
      <w:sz w:val="16"/>
      <w:szCs w:val="16"/>
    </w:rPr>
  </w:style>
  <w:style w:type="paragraph" w:styleId="CommentText">
    <w:name w:val="annotation text"/>
    <w:basedOn w:val="Normal"/>
    <w:link w:val="CommentTextChar"/>
    <w:uiPriority w:val="99"/>
    <w:unhideWhenUsed/>
    <w:rsid w:val="000C14E0"/>
    <w:pPr>
      <w:spacing w:line="240" w:lineRule="auto"/>
    </w:pPr>
    <w:rPr>
      <w:sz w:val="20"/>
      <w:szCs w:val="20"/>
    </w:rPr>
  </w:style>
  <w:style w:type="character" w:customStyle="1" w:styleId="CommentTextChar">
    <w:name w:val="Comment Text Char"/>
    <w:basedOn w:val="DefaultParagraphFont"/>
    <w:link w:val="CommentText"/>
    <w:uiPriority w:val="99"/>
    <w:rsid w:val="000C14E0"/>
    <w:rPr>
      <w:sz w:val="20"/>
      <w:szCs w:val="20"/>
    </w:rPr>
  </w:style>
  <w:style w:type="paragraph" w:styleId="CommentSubject">
    <w:name w:val="annotation subject"/>
    <w:basedOn w:val="CommentText"/>
    <w:next w:val="CommentText"/>
    <w:link w:val="CommentSubjectChar"/>
    <w:uiPriority w:val="99"/>
    <w:semiHidden/>
    <w:unhideWhenUsed/>
    <w:rsid w:val="000C14E0"/>
    <w:rPr>
      <w:b/>
      <w:bCs/>
    </w:rPr>
  </w:style>
  <w:style w:type="character" w:customStyle="1" w:styleId="CommentSubjectChar">
    <w:name w:val="Comment Subject Char"/>
    <w:basedOn w:val="CommentTextChar"/>
    <w:link w:val="CommentSubject"/>
    <w:uiPriority w:val="99"/>
    <w:semiHidden/>
    <w:rsid w:val="000C14E0"/>
    <w:rPr>
      <w:b/>
      <w:bCs/>
      <w:sz w:val="20"/>
      <w:szCs w:val="20"/>
    </w:rPr>
  </w:style>
  <w:style w:type="character" w:styleId="Hyperlink">
    <w:name w:val="Hyperlink"/>
    <w:basedOn w:val="DefaultParagraphFont"/>
    <w:uiPriority w:val="99"/>
    <w:unhideWhenUsed/>
    <w:rsid w:val="00BA7819"/>
    <w:rPr>
      <w:color w:val="0563C1" w:themeColor="hyperlink"/>
      <w:u w:val="single"/>
    </w:rPr>
  </w:style>
  <w:style w:type="character" w:styleId="FollowedHyperlink">
    <w:name w:val="FollowedHyperlink"/>
    <w:basedOn w:val="DefaultParagraphFont"/>
    <w:uiPriority w:val="99"/>
    <w:semiHidden/>
    <w:unhideWhenUsed/>
    <w:rsid w:val="004E653A"/>
    <w:rPr>
      <w:color w:val="954F72" w:themeColor="followedHyperlink"/>
      <w:u w:val="single"/>
    </w:rPr>
  </w:style>
  <w:style w:type="character" w:customStyle="1" w:styleId="ListParagraphChar">
    <w:name w:val="List Paragraph Char"/>
    <w:basedOn w:val="DefaultParagraphFont"/>
    <w:link w:val="ListParagraph"/>
    <w:uiPriority w:val="34"/>
    <w:rsid w:val="009D692B"/>
  </w:style>
  <w:style w:type="table" w:styleId="TableGrid">
    <w:name w:val="Table Grid"/>
    <w:basedOn w:val="TableNormal"/>
    <w:uiPriority w:val="39"/>
    <w:rsid w:val="00AD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D31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AD31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470CC"/>
    <w:rPr>
      <w:color w:val="605E5C"/>
      <w:shd w:val="clear" w:color="auto" w:fill="E1DFDD"/>
    </w:rPr>
  </w:style>
  <w:style w:type="paragraph" w:styleId="TOC1">
    <w:name w:val="toc 1"/>
    <w:basedOn w:val="Normal"/>
    <w:next w:val="Normal"/>
    <w:autoRedefine/>
    <w:uiPriority w:val="39"/>
    <w:unhideWhenUsed/>
    <w:rsid w:val="001940F5"/>
    <w:pPr>
      <w:spacing w:after="100"/>
    </w:pPr>
  </w:style>
  <w:style w:type="paragraph" w:styleId="TOC2">
    <w:name w:val="toc 2"/>
    <w:basedOn w:val="Normal"/>
    <w:next w:val="Normal"/>
    <w:autoRedefine/>
    <w:uiPriority w:val="39"/>
    <w:unhideWhenUsed/>
    <w:rsid w:val="001940F5"/>
    <w:pPr>
      <w:spacing w:after="100"/>
      <w:ind w:left="220"/>
    </w:pPr>
  </w:style>
  <w:style w:type="paragraph" w:styleId="TOC3">
    <w:name w:val="toc 3"/>
    <w:basedOn w:val="Normal"/>
    <w:next w:val="Normal"/>
    <w:autoRedefine/>
    <w:uiPriority w:val="39"/>
    <w:unhideWhenUsed/>
    <w:rsid w:val="001940F5"/>
    <w:pPr>
      <w:spacing w:after="100"/>
      <w:ind w:left="440"/>
    </w:pPr>
  </w:style>
  <w:style w:type="paragraph" w:styleId="Header">
    <w:name w:val="header"/>
    <w:basedOn w:val="Normal"/>
    <w:link w:val="HeaderChar"/>
    <w:uiPriority w:val="99"/>
    <w:unhideWhenUsed/>
    <w:rsid w:val="009E0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53"/>
  </w:style>
  <w:style w:type="paragraph" w:styleId="Footer">
    <w:name w:val="footer"/>
    <w:basedOn w:val="Normal"/>
    <w:link w:val="FooterChar"/>
    <w:uiPriority w:val="99"/>
    <w:unhideWhenUsed/>
    <w:rsid w:val="009E0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53"/>
  </w:style>
  <w:style w:type="paragraph" w:styleId="NormalWeb">
    <w:name w:val="Normal (Web)"/>
    <w:basedOn w:val="Normal"/>
    <w:uiPriority w:val="99"/>
    <w:semiHidden/>
    <w:unhideWhenUsed/>
    <w:rsid w:val="00AF289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61C0"/>
    <w:pPr>
      <w:spacing w:after="0" w:line="240" w:lineRule="auto"/>
    </w:pPr>
  </w:style>
  <w:style w:type="character" w:customStyle="1" w:styleId="NoSpacingChar">
    <w:name w:val="No Spacing Char"/>
    <w:basedOn w:val="DefaultParagraphFont"/>
    <w:link w:val="NoSpacing"/>
    <w:uiPriority w:val="1"/>
    <w:rsid w:val="006E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1736">
      <w:bodyDiv w:val="1"/>
      <w:marLeft w:val="0"/>
      <w:marRight w:val="0"/>
      <w:marTop w:val="0"/>
      <w:marBottom w:val="0"/>
      <w:divBdr>
        <w:top w:val="none" w:sz="0" w:space="0" w:color="auto"/>
        <w:left w:val="none" w:sz="0" w:space="0" w:color="auto"/>
        <w:bottom w:val="none" w:sz="0" w:space="0" w:color="auto"/>
        <w:right w:val="none" w:sz="0" w:space="0" w:color="auto"/>
      </w:divBdr>
    </w:div>
    <w:div w:id="269507594">
      <w:bodyDiv w:val="1"/>
      <w:marLeft w:val="0"/>
      <w:marRight w:val="0"/>
      <w:marTop w:val="0"/>
      <w:marBottom w:val="0"/>
      <w:divBdr>
        <w:top w:val="none" w:sz="0" w:space="0" w:color="auto"/>
        <w:left w:val="none" w:sz="0" w:space="0" w:color="auto"/>
        <w:bottom w:val="none" w:sz="0" w:space="0" w:color="auto"/>
        <w:right w:val="none" w:sz="0" w:space="0" w:color="auto"/>
      </w:divBdr>
    </w:div>
    <w:div w:id="614947876">
      <w:bodyDiv w:val="1"/>
      <w:marLeft w:val="0"/>
      <w:marRight w:val="0"/>
      <w:marTop w:val="0"/>
      <w:marBottom w:val="0"/>
      <w:divBdr>
        <w:top w:val="none" w:sz="0" w:space="0" w:color="auto"/>
        <w:left w:val="none" w:sz="0" w:space="0" w:color="auto"/>
        <w:bottom w:val="none" w:sz="0" w:space="0" w:color="auto"/>
        <w:right w:val="none" w:sz="0" w:space="0" w:color="auto"/>
      </w:divBdr>
    </w:div>
    <w:div w:id="972179932">
      <w:bodyDiv w:val="1"/>
      <w:marLeft w:val="0"/>
      <w:marRight w:val="0"/>
      <w:marTop w:val="0"/>
      <w:marBottom w:val="0"/>
      <w:divBdr>
        <w:top w:val="none" w:sz="0" w:space="0" w:color="auto"/>
        <w:left w:val="none" w:sz="0" w:space="0" w:color="auto"/>
        <w:bottom w:val="none" w:sz="0" w:space="0" w:color="auto"/>
        <w:right w:val="none" w:sz="0" w:space="0" w:color="auto"/>
      </w:divBdr>
    </w:div>
    <w:div w:id="1184393314">
      <w:bodyDiv w:val="1"/>
      <w:marLeft w:val="0"/>
      <w:marRight w:val="0"/>
      <w:marTop w:val="0"/>
      <w:marBottom w:val="0"/>
      <w:divBdr>
        <w:top w:val="none" w:sz="0" w:space="0" w:color="auto"/>
        <w:left w:val="none" w:sz="0" w:space="0" w:color="auto"/>
        <w:bottom w:val="none" w:sz="0" w:space="0" w:color="auto"/>
        <w:right w:val="none" w:sz="0" w:space="0" w:color="auto"/>
      </w:divBdr>
    </w:div>
    <w:div w:id="1394818001">
      <w:bodyDiv w:val="1"/>
      <w:marLeft w:val="0"/>
      <w:marRight w:val="0"/>
      <w:marTop w:val="0"/>
      <w:marBottom w:val="0"/>
      <w:divBdr>
        <w:top w:val="none" w:sz="0" w:space="0" w:color="auto"/>
        <w:left w:val="none" w:sz="0" w:space="0" w:color="auto"/>
        <w:bottom w:val="none" w:sz="0" w:space="0" w:color="auto"/>
        <w:right w:val="none" w:sz="0" w:space="0" w:color="auto"/>
      </w:divBdr>
    </w:div>
    <w:div w:id="1397389670">
      <w:bodyDiv w:val="1"/>
      <w:marLeft w:val="0"/>
      <w:marRight w:val="0"/>
      <w:marTop w:val="0"/>
      <w:marBottom w:val="0"/>
      <w:divBdr>
        <w:top w:val="none" w:sz="0" w:space="0" w:color="auto"/>
        <w:left w:val="none" w:sz="0" w:space="0" w:color="auto"/>
        <w:bottom w:val="none" w:sz="0" w:space="0" w:color="auto"/>
        <w:right w:val="none" w:sz="0" w:space="0" w:color="auto"/>
      </w:divBdr>
    </w:div>
    <w:div w:id="1633440899">
      <w:bodyDiv w:val="1"/>
      <w:marLeft w:val="0"/>
      <w:marRight w:val="0"/>
      <w:marTop w:val="0"/>
      <w:marBottom w:val="0"/>
      <w:divBdr>
        <w:top w:val="none" w:sz="0" w:space="0" w:color="auto"/>
        <w:left w:val="none" w:sz="0" w:space="0" w:color="auto"/>
        <w:bottom w:val="none" w:sz="0" w:space="0" w:color="auto"/>
        <w:right w:val="none" w:sz="0" w:space="0" w:color="auto"/>
      </w:divBdr>
    </w:div>
    <w:div w:id="1865364789">
      <w:bodyDiv w:val="1"/>
      <w:marLeft w:val="0"/>
      <w:marRight w:val="0"/>
      <w:marTop w:val="0"/>
      <w:marBottom w:val="0"/>
      <w:divBdr>
        <w:top w:val="none" w:sz="0" w:space="0" w:color="auto"/>
        <w:left w:val="none" w:sz="0" w:space="0" w:color="auto"/>
        <w:bottom w:val="none" w:sz="0" w:space="0" w:color="auto"/>
        <w:right w:val="none" w:sz="0" w:space="0" w:color="auto"/>
      </w:divBdr>
    </w:div>
    <w:div w:id="1875730656">
      <w:bodyDiv w:val="1"/>
      <w:marLeft w:val="0"/>
      <w:marRight w:val="0"/>
      <w:marTop w:val="0"/>
      <w:marBottom w:val="0"/>
      <w:divBdr>
        <w:top w:val="none" w:sz="0" w:space="0" w:color="auto"/>
        <w:left w:val="none" w:sz="0" w:space="0" w:color="auto"/>
        <w:bottom w:val="none" w:sz="0" w:space="0" w:color="auto"/>
        <w:right w:val="none" w:sz="0" w:space="0" w:color="auto"/>
      </w:divBdr>
    </w:div>
    <w:div w:id="21147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acc.hhs.gov/resources/coronavirus/" TargetMode="External"/><Relationship Id="rId18" Type="http://schemas.openxmlformats.org/officeDocument/2006/relationships/hyperlink" Target="https://icdr.acl.gov/committee/executive-committ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dr.acl.gov/system/files/resources/ICDR%20COVID-19%20White%20Paper_0.docx" TargetMode="External"/><Relationship Id="rId17" Type="http://schemas.openxmlformats.org/officeDocument/2006/relationships/hyperlink" Target="https://icdr.acl.gov/system/files/resources/Employment%20Symposium%20Meeting%20Notes-final.docx" TargetMode="External"/><Relationship Id="rId2" Type="http://schemas.openxmlformats.org/officeDocument/2006/relationships/numbering" Target="numbering.xml"/><Relationship Id="rId16" Type="http://schemas.openxmlformats.org/officeDocument/2006/relationships/hyperlink" Target="https://icdr.acl.gov/system/files/resources/ICDR-HIT%20Toolkit_50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dr.acl.gov/content/about-us" TargetMode="External"/><Relationship Id="rId5" Type="http://schemas.openxmlformats.org/officeDocument/2006/relationships/webSettings" Target="webSettings.xml"/><Relationship Id="rId15" Type="http://schemas.openxmlformats.org/officeDocument/2006/relationships/hyperlink" Target="https://icdr.acl.gov/system/files/resources/ICDR-Health%20Care%20Access-Qual-Toolkit.091021%20508.pdf" TargetMode="External"/><Relationship Id="rId10" Type="http://schemas.openxmlformats.org/officeDocument/2006/relationships/hyperlink" Target="https://uscode.house.gov/view.xhtml?path=/prelim@title29/chapter16&amp;edition=prelim" TargetMode="External"/><Relationship Id="rId19" Type="http://schemas.openxmlformats.org/officeDocument/2006/relationships/hyperlink" Target="https://icdr.acl.gov/system/files/resources/ICDR%20June%20Stakeholder%20Meeting%20Summary%20Report_Final_8-9-21_508.pdf" TargetMode="External"/><Relationship Id="rId4" Type="http://schemas.openxmlformats.org/officeDocument/2006/relationships/settings" Target="settings.xml"/><Relationship Id="rId9" Type="http://schemas.openxmlformats.org/officeDocument/2006/relationships/hyperlink" Target="https://icdr.acl.gov/resources/reports/icdr-government-wide-strategic-plan-2018-2021" TargetMode="External"/><Relationship Id="rId14" Type="http://schemas.openxmlformats.org/officeDocument/2006/relationships/hyperlink" Target="https://icdr.acl.gov/system/files/resources/EMP-Toolkit.3.9.21_50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526B-076B-4485-9266-17FCAA99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Murphy</dc:creator>
  <cp:keywords/>
  <dc:description/>
  <cp:lastModifiedBy>Kaitlin Murphy</cp:lastModifiedBy>
  <cp:revision>2</cp:revision>
  <dcterms:created xsi:type="dcterms:W3CDTF">2022-05-06T17:59:00Z</dcterms:created>
  <dcterms:modified xsi:type="dcterms:W3CDTF">2022-05-06T17:59:00Z</dcterms:modified>
</cp:coreProperties>
</file>